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9D3C66" w:rsidTr="009D3C66">
        <w:tc>
          <w:tcPr>
            <w:tcW w:w="10349" w:type="dxa"/>
            <w:shd w:val="clear" w:color="auto" w:fill="C2D69B" w:themeFill="accent3" w:themeFillTint="99"/>
          </w:tcPr>
          <w:p w:rsidR="00471446" w:rsidRPr="009D3C66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0"/>
            <w:r w:rsidRPr="009D3C66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9D3C66" w:rsidTr="005B3D6D">
        <w:tc>
          <w:tcPr>
            <w:tcW w:w="10349" w:type="dxa"/>
            <w:tcBorders>
              <w:bottom w:val="dotted" w:sz="4" w:space="0" w:color="auto"/>
            </w:tcBorders>
          </w:tcPr>
          <w:p w:rsidR="00471446" w:rsidRPr="009D3C66" w:rsidRDefault="005E4C0B" w:rsidP="009D3C6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Determinar el proceso interno que debe seguir el Comité Nacional de Bioética de la Investigación de Panamá CNBI para el manejo adecuado de la documentación, desde su recepción hasta su</w:t>
            </w:r>
            <w:r w:rsidR="00EA46CE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archivo.</w:t>
            </w:r>
          </w:p>
        </w:tc>
      </w:tr>
      <w:tr w:rsidR="00471446" w:rsidRPr="009D3C66" w:rsidTr="009D3C66">
        <w:tc>
          <w:tcPr>
            <w:tcW w:w="10349" w:type="dxa"/>
            <w:shd w:val="clear" w:color="auto" w:fill="C2D69B" w:themeFill="accent3" w:themeFillTint="99"/>
          </w:tcPr>
          <w:p w:rsidR="00471446" w:rsidRPr="009D3C66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9D3C66" w:rsidTr="005B3D6D">
        <w:tc>
          <w:tcPr>
            <w:tcW w:w="10349" w:type="dxa"/>
          </w:tcPr>
          <w:p w:rsidR="00471446" w:rsidRPr="009D3C66" w:rsidRDefault="005E4C0B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Este procedimiento incluye toda aquella documentación recibida y generada, de forma digital y física.</w:t>
            </w:r>
          </w:p>
        </w:tc>
      </w:tr>
      <w:bookmarkEnd w:id="0"/>
    </w:tbl>
    <w:p w:rsidR="00471446" w:rsidRPr="009D3C66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9D3C66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9D3C66" w:rsidTr="009D3C66">
        <w:tc>
          <w:tcPr>
            <w:tcW w:w="10349" w:type="dxa"/>
            <w:gridSpan w:val="2"/>
            <w:shd w:val="clear" w:color="auto" w:fill="C2D69B" w:themeFill="accent3" w:themeFillTint="99"/>
          </w:tcPr>
          <w:p w:rsidR="00471446" w:rsidRPr="009D3C66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9D3C66" w:rsidTr="005B3D6D">
        <w:tc>
          <w:tcPr>
            <w:tcW w:w="2694" w:type="dxa"/>
          </w:tcPr>
          <w:p w:rsidR="00471446" w:rsidRPr="009D3C66" w:rsidRDefault="005E4C0B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D3C66">
              <w:rPr>
                <w:rFonts w:cstheme="minorHAnsi"/>
                <w:i/>
                <w:sz w:val="24"/>
                <w:szCs w:val="24"/>
              </w:rPr>
              <w:t>N/A</w:t>
            </w:r>
          </w:p>
        </w:tc>
        <w:tc>
          <w:tcPr>
            <w:tcW w:w="7655" w:type="dxa"/>
          </w:tcPr>
          <w:p w:rsidR="00471446" w:rsidRPr="009D3C66" w:rsidRDefault="00471446" w:rsidP="00A551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9D3C66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9D3C66" w:rsidTr="009D3C66">
        <w:tc>
          <w:tcPr>
            <w:tcW w:w="10349" w:type="dxa"/>
            <w:gridSpan w:val="2"/>
            <w:shd w:val="clear" w:color="auto" w:fill="C2D69B" w:themeFill="accent3" w:themeFillTint="99"/>
          </w:tcPr>
          <w:p w:rsidR="00471446" w:rsidRPr="009D3C66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9D3C66" w:rsidTr="005B3D6D">
        <w:tc>
          <w:tcPr>
            <w:tcW w:w="2694" w:type="dxa"/>
            <w:vAlign w:val="center"/>
          </w:tcPr>
          <w:p w:rsidR="00471446" w:rsidRPr="009D3C66" w:rsidRDefault="00DC4573" w:rsidP="00496674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D3C66">
              <w:rPr>
                <w:rFonts w:cstheme="minorHAnsi"/>
                <w:i/>
                <w:sz w:val="24"/>
                <w:szCs w:val="24"/>
              </w:rPr>
              <w:t>Secretar</w:t>
            </w:r>
            <w:r w:rsidR="009D3C66">
              <w:rPr>
                <w:rFonts w:cstheme="minorHAnsi"/>
                <w:i/>
                <w:sz w:val="24"/>
                <w:szCs w:val="24"/>
              </w:rPr>
              <w:t>í</w:t>
            </w:r>
            <w:r w:rsidRPr="009D3C66">
              <w:rPr>
                <w:rFonts w:cstheme="minorHAnsi"/>
                <w:i/>
                <w:sz w:val="24"/>
                <w:szCs w:val="24"/>
              </w:rPr>
              <w:t>a Técnica</w:t>
            </w:r>
          </w:p>
        </w:tc>
        <w:tc>
          <w:tcPr>
            <w:tcW w:w="7655" w:type="dxa"/>
          </w:tcPr>
          <w:p w:rsidR="00DC4573" w:rsidRPr="009D3C66" w:rsidRDefault="00DC4573" w:rsidP="00DC457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Responsable de la recepción y revisión de la documentación para trámite por parte del CNBI y de la recopilación de los comentarios y observaciones requeridos para la generación de la correspondencia a los Investigadores, Comités de Ética u otro que aplique.</w:t>
            </w:r>
          </w:p>
          <w:p w:rsidR="00DC4573" w:rsidRPr="009D3C66" w:rsidRDefault="00DC4573" w:rsidP="00DC457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Responsable de generar la correspondencia hacia los Investigadores y/o</w:t>
            </w:r>
          </w:p>
          <w:p w:rsidR="00DC4573" w:rsidRPr="009D3C66" w:rsidRDefault="00DC4573" w:rsidP="00DC457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Comités de Ética y demás involucrados en los proyectos de investigación.</w:t>
            </w:r>
          </w:p>
          <w:p w:rsidR="00DC4573" w:rsidRPr="009D3C66" w:rsidRDefault="00DC4573" w:rsidP="00DC4573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Responsable del archivo y custodia digital o en copia de la documentación.</w:t>
            </w:r>
          </w:p>
        </w:tc>
      </w:tr>
      <w:tr w:rsidR="00A71565" w:rsidRPr="009D3C66" w:rsidTr="005B3D6D">
        <w:tc>
          <w:tcPr>
            <w:tcW w:w="2694" w:type="dxa"/>
            <w:vAlign w:val="center"/>
          </w:tcPr>
          <w:p w:rsidR="00A71565" w:rsidRPr="009D3C66" w:rsidRDefault="00A71565" w:rsidP="00496674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Presidente del Comité</w:t>
            </w:r>
          </w:p>
        </w:tc>
        <w:tc>
          <w:tcPr>
            <w:tcW w:w="7655" w:type="dxa"/>
          </w:tcPr>
          <w:p w:rsidR="00A71565" w:rsidRPr="009D3C66" w:rsidRDefault="00A71565" w:rsidP="00DC457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la correspondencia oficial del Comité. Recomienda a la Secretaría técnica procesos de mejora en la gestión de la documentación</w:t>
            </w:r>
          </w:p>
        </w:tc>
      </w:tr>
      <w:tr w:rsidR="001C1173" w:rsidRPr="009D3C66" w:rsidTr="005B3D6D">
        <w:tc>
          <w:tcPr>
            <w:tcW w:w="2694" w:type="dxa"/>
            <w:vAlign w:val="center"/>
          </w:tcPr>
          <w:p w:rsidR="001C1173" w:rsidRPr="009D3C66" w:rsidRDefault="001C1173" w:rsidP="0049667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Miembros del CNBI</w:t>
            </w:r>
          </w:p>
        </w:tc>
        <w:tc>
          <w:tcPr>
            <w:tcW w:w="7655" w:type="dxa"/>
          </w:tcPr>
          <w:p w:rsidR="001C1173" w:rsidRPr="009D3C66" w:rsidRDefault="00190EF6" w:rsidP="00190EF6">
            <w:pPr>
              <w:jc w:val="both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Sugerir a la Sec</w:t>
            </w:r>
            <w:r w:rsidR="00DC4573" w:rsidRPr="009D3C66">
              <w:rPr>
                <w:rFonts w:cstheme="minorHAnsi"/>
                <w:sz w:val="24"/>
                <w:szCs w:val="24"/>
                <w:lang w:val="es-PA"/>
              </w:rPr>
              <w:t>re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taría Técnica modificaciones en el procedimiento de gestión de la documentación.</w:t>
            </w:r>
            <w:r w:rsidR="005E4C0B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</w:p>
        </w:tc>
      </w:tr>
    </w:tbl>
    <w:p w:rsidR="00A71565" w:rsidRDefault="00A71565" w:rsidP="00C15BD9">
      <w:pPr>
        <w:spacing w:after="0" w:line="360" w:lineRule="auto"/>
        <w:rPr>
          <w:rFonts w:cstheme="minorHAnsi"/>
          <w:sz w:val="24"/>
          <w:szCs w:val="24"/>
        </w:rPr>
      </w:pPr>
    </w:p>
    <w:p w:rsidR="00A85348" w:rsidRPr="009D3C66" w:rsidRDefault="00A85348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9D3C66" w:rsidTr="00A71565">
        <w:tc>
          <w:tcPr>
            <w:tcW w:w="10349" w:type="dxa"/>
            <w:shd w:val="clear" w:color="auto" w:fill="C2D69B" w:themeFill="accent3" w:themeFillTint="99"/>
          </w:tcPr>
          <w:p w:rsidR="00471446" w:rsidRPr="009D3C66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9D3C66" w:rsidTr="005B3D6D">
        <w:tc>
          <w:tcPr>
            <w:tcW w:w="10349" w:type="dxa"/>
          </w:tcPr>
          <w:p w:rsidR="00496674" w:rsidRPr="009D3C66" w:rsidRDefault="00496674" w:rsidP="00A71565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9D3C66"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  <w:t xml:space="preserve">Recepción de Correspondencia </w:t>
            </w:r>
          </w:p>
          <w:p w:rsidR="00684079" w:rsidRPr="009D3C66" w:rsidRDefault="00496674" w:rsidP="00A715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Toda correspondencia recibida por la Secretar</w:t>
            </w:r>
            <w:r w:rsidR="009D3C66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 w:rsidR="009D3C66">
              <w:rPr>
                <w:rFonts w:cstheme="minorHAnsi"/>
                <w:sz w:val="24"/>
                <w:szCs w:val="24"/>
                <w:lang w:val="es-PA"/>
              </w:rPr>
              <w:t xml:space="preserve">técnica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del 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, debe ser sellada, con fecha y firma de la persona que recibe. </w:t>
            </w:r>
          </w:p>
          <w:p w:rsidR="00AF6BC2" w:rsidRPr="009D3C66" w:rsidRDefault="00AF6BC2" w:rsidP="00A715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 xml:space="preserve">La documentación recibida en un dispositivo </w:t>
            </w:r>
            <w:r w:rsidR="00A71565" w:rsidRPr="009D3C66">
              <w:rPr>
                <w:rFonts w:cstheme="minorHAnsi"/>
                <w:sz w:val="24"/>
                <w:szCs w:val="24"/>
              </w:rPr>
              <w:t>electrónico</w:t>
            </w:r>
            <w:r w:rsidRPr="009D3C66">
              <w:rPr>
                <w:rFonts w:cstheme="minorHAnsi"/>
                <w:sz w:val="24"/>
                <w:szCs w:val="24"/>
              </w:rPr>
              <w:t xml:space="preserve"> debe tener una etiqueta identificando el número de protocolo e investigador o Comité de </w:t>
            </w:r>
            <w:r w:rsidR="00190EF6" w:rsidRPr="009D3C66">
              <w:rPr>
                <w:rFonts w:cstheme="minorHAnsi"/>
                <w:sz w:val="24"/>
                <w:szCs w:val="24"/>
              </w:rPr>
              <w:t>Bioética</w:t>
            </w:r>
            <w:r w:rsidRPr="009D3C66">
              <w:rPr>
                <w:rFonts w:cstheme="minorHAnsi"/>
                <w:sz w:val="24"/>
                <w:szCs w:val="24"/>
              </w:rPr>
              <w:t xml:space="preserve"> o cualquier otro requerido para </w:t>
            </w:r>
            <w:r w:rsidRPr="009D3C66">
              <w:rPr>
                <w:rFonts w:cstheme="minorHAnsi"/>
                <w:sz w:val="24"/>
                <w:szCs w:val="24"/>
              </w:rPr>
              <w:lastRenderedPageBreak/>
              <w:t>lograr su fácil identificación.</w:t>
            </w:r>
          </w:p>
          <w:p w:rsidR="00AF6BC2" w:rsidRPr="009D3C66" w:rsidRDefault="00AC0309" w:rsidP="00A715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La correspondencia es entregada a la Secretaria Técnica del CNBI, quien revisa el tipo de correspondencia recibida y tramita según corresponda: reportes de seguimiento, reportes de seguridad, sometimiento de nuevos protocolos, etc.</w:t>
            </w:r>
          </w:p>
          <w:p w:rsidR="00136EDE" w:rsidRPr="009D3C66" w:rsidRDefault="00AC0309" w:rsidP="00A715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Una vez recibida y revisada la información, la Secretaria Técnica incluye en la agenda de</w:t>
            </w:r>
            <w:r w:rsidR="00136EDE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sesión la revisión del material recibido, según corresponda y aplique.</w:t>
            </w:r>
          </w:p>
          <w:p w:rsidR="00136EDE" w:rsidRPr="00A71565" w:rsidRDefault="00AC0309" w:rsidP="00A715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La distribución del </w:t>
            </w:r>
            <w:r w:rsidR="00A71565" w:rsidRPr="009D3C66">
              <w:rPr>
                <w:rFonts w:cstheme="minorHAnsi"/>
                <w:sz w:val="24"/>
                <w:szCs w:val="24"/>
                <w:lang w:val="es-PA"/>
              </w:rPr>
              <w:t>material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se realiza vía electróni</w:t>
            </w:r>
            <w:r w:rsidR="00136EDE" w:rsidRPr="009D3C66">
              <w:rPr>
                <w:rFonts w:cstheme="minorHAnsi"/>
                <w:sz w:val="24"/>
                <w:szCs w:val="24"/>
                <w:lang w:val="es-PA"/>
              </w:rPr>
              <w:t xml:space="preserve">ca a los miembros del comité, al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menos </w:t>
            </w:r>
            <w:r w:rsidR="00A71565">
              <w:rPr>
                <w:rFonts w:cstheme="minorHAnsi"/>
                <w:sz w:val="24"/>
                <w:szCs w:val="24"/>
                <w:lang w:val="es-PA"/>
              </w:rPr>
              <w:t>5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días previos a la reunión </w:t>
            </w:r>
            <w:r w:rsidR="00A71565">
              <w:rPr>
                <w:rFonts w:cstheme="minorHAnsi"/>
                <w:sz w:val="24"/>
                <w:szCs w:val="24"/>
                <w:lang w:val="es-PA"/>
              </w:rPr>
              <w:t xml:space="preserve">en que ha agendado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la revisión.</w:t>
            </w:r>
          </w:p>
          <w:p w:rsidR="00A71565" w:rsidRPr="009D3C66" w:rsidRDefault="00A71565" w:rsidP="00A71565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protocolos, enmiendas a protocolos, consentimiento informado, enmiendas a consentimiento informado, manual del investigador y sus cambios deben ser enviados protegidos con contraseña.</w:t>
            </w:r>
          </w:p>
          <w:p w:rsidR="00AC0309" w:rsidRPr="009D3C66" w:rsidRDefault="00AC0309" w:rsidP="00A7156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1F3B" w:rsidRPr="009D3C66" w:rsidTr="005B3D6D">
        <w:tc>
          <w:tcPr>
            <w:tcW w:w="10349" w:type="dxa"/>
          </w:tcPr>
          <w:p w:rsidR="00136EDE" w:rsidRPr="009D3C66" w:rsidRDefault="00136EDE" w:rsidP="00706B8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  <w:lastRenderedPageBreak/>
              <w:t>Emisión de Correspondencia</w:t>
            </w:r>
          </w:p>
          <w:p w:rsidR="00136EDE" w:rsidRPr="009D3C66" w:rsidRDefault="00136EDE" w:rsidP="00706B8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s-PA"/>
              </w:rPr>
            </w:pPr>
          </w:p>
          <w:p w:rsidR="00136EDE" w:rsidRPr="009D3C66" w:rsidRDefault="00136EDE" w:rsidP="0031101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Al finalizar cada sesión, Secretaria Técnica es responsable de recopilar los comentarios, observaciones que correspondan a la revisión de cada tema, con el fin de consolidar la información y generar la correspondencia a los Investigadores, Comités de Ética o quien aplique. La correspondencia generada es enviada a revisión y firma al </w:t>
            </w:r>
            <w:proofErr w:type="gramStart"/>
            <w:r w:rsidRPr="009D3C66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del CNBI.</w:t>
            </w:r>
          </w:p>
          <w:p w:rsidR="00136EDE" w:rsidRPr="009D3C66" w:rsidRDefault="00136EDE" w:rsidP="0031101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Dicha correspondencia debe ser emitida en un lapso de 3 días hábiles posterior a la sesión.</w:t>
            </w:r>
          </w:p>
          <w:p w:rsidR="001A1F3B" w:rsidRPr="009D3C66" w:rsidRDefault="001A1F3B" w:rsidP="00706B86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1A1F3B" w:rsidRPr="009D3C66" w:rsidTr="005B3D6D">
        <w:tc>
          <w:tcPr>
            <w:tcW w:w="10349" w:type="dxa"/>
          </w:tcPr>
          <w:p w:rsidR="00136EDE" w:rsidRPr="009D3C66" w:rsidRDefault="00136EDE" w:rsidP="00706B8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  <w:t>Archivo</w:t>
            </w:r>
          </w:p>
          <w:p w:rsidR="00136EDE" w:rsidRPr="009D3C66" w:rsidRDefault="00136EDE" w:rsidP="00706B8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lang w:val="es-PA"/>
              </w:rPr>
            </w:pPr>
          </w:p>
          <w:p w:rsidR="00136EDE" w:rsidRPr="009D3C66" w:rsidRDefault="00136EDE" w:rsidP="00706B86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El archivo puede ser físico o digital, y está compuesto por:</w:t>
            </w:r>
          </w:p>
          <w:p w:rsidR="00136EDE" w:rsidRPr="009D3C66" w:rsidRDefault="00136EDE" w:rsidP="00706B86">
            <w:pPr>
              <w:pStyle w:val="Prrafodelista"/>
              <w:autoSpaceDE w:val="0"/>
              <w:autoSpaceDN w:val="0"/>
              <w:adjustRightInd w:val="0"/>
              <w:ind w:left="792"/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s-PA"/>
              </w:rPr>
            </w:pPr>
          </w:p>
          <w:p w:rsidR="00136EDE" w:rsidRPr="009D3C66" w:rsidRDefault="00136EDE" w:rsidP="00706B86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s-PA"/>
              </w:rPr>
            </w:pPr>
            <w:r w:rsidRPr="00311013">
              <w:rPr>
                <w:rFonts w:cstheme="minorHAnsi"/>
                <w:i/>
                <w:sz w:val="24"/>
                <w:szCs w:val="24"/>
                <w:lang w:val="es-PA"/>
              </w:rPr>
              <w:t>Documentos de operación: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que corresponde a toda aquella documentación requerida para la adecuada operación del </w:t>
            </w:r>
            <w:r w:rsidR="008A378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8A378D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Se divide en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“v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igentes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”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y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“no vigentes”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y estaría compuesto por:</w:t>
            </w:r>
          </w:p>
          <w:p w:rsidR="00136EDE" w:rsidRPr="009D3C66" w:rsidRDefault="00136EDE" w:rsidP="00706B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136EDE" w:rsidRPr="009D3C66" w:rsidRDefault="00311013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Normativa de creación del CNBI (Leyes, Decretos</w:t>
            </w:r>
            <w:proofErr w:type="gramStart"/>
            <w:r>
              <w:rPr>
                <w:rFonts w:cstheme="minorHAnsi"/>
                <w:sz w:val="24"/>
                <w:szCs w:val="24"/>
                <w:lang w:val="es-PA"/>
              </w:rPr>
              <w:t>, .</w:t>
            </w:r>
            <w:proofErr w:type="gramEnd"/>
          </w:p>
          <w:p w:rsidR="00136EDE" w:rsidRPr="009D3C66" w:rsidRDefault="00136EDE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Procedimientos Operativos y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Plantillas de Trabajo</w:t>
            </w:r>
          </w:p>
          <w:p w:rsidR="00136EDE" w:rsidRPr="009D3C66" w:rsidRDefault="00136EDE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Normativas nacionales e internacionales</w:t>
            </w:r>
          </w:p>
          <w:p w:rsidR="00136EDE" w:rsidRPr="009D3C66" w:rsidRDefault="00136EDE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Otros</w:t>
            </w:r>
          </w:p>
          <w:p w:rsidR="00136EDE" w:rsidRPr="009D3C66" w:rsidRDefault="00136EDE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Dicha información está en custodia de la Secretaria Técnica, quien controla las versiones vigentes y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no vigente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. Cuando un documento de operación es reemplazado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por otro, se coloca en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“no vigentes”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, y su reemplazo se archiva en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“v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igentes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”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:rsidR="00706B86" w:rsidRPr="009D3C66" w:rsidRDefault="00706B86" w:rsidP="00706B86">
            <w:pPr>
              <w:pStyle w:val="Prrafodelista"/>
              <w:autoSpaceDE w:val="0"/>
              <w:autoSpaceDN w:val="0"/>
              <w:adjustRightInd w:val="0"/>
              <w:ind w:left="1728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706B86" w:rsidRPr="009D3C66" w:rsidRDefault="00136EDE" w:rsidP="00706B86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311013">
              <w:rPr>
                <w:rFonts w:cstheme="minorHAnsi"/>
                <w:i/>
                <w:sz w:val="24"/>
                <w:szCs w:val="24"/>
                <w:lang w:val="es-PA"/>
              </w:rPr>
              <w:t>Documentación de los miembros del comité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: este archivo contiene un listado vigente de los miembros del </w:t>
            </w:r>
            <w:r w:rsidR="00991B6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, conteniendo Currículos de los miembros, certificaciones, registros de entrenamiento y cualquier otro que aplique.</w:t>
            </w:r>
          </w:p>
          <w:p w:rsidR="00991B6D" w:rsidRPr="00293CEF" w:rsidRDefault="00136EDE" w:rsidP="00293CEF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Cuando un miembro ya no continúa su participación en el </w:t>
            </w:r>
            <w:r w:rsidR="00991B6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, su</w:t>
            </w:r>
            <w:r w:rsidR="00706B86" w:rsidRPr="009D3C66">
              <w:rPr>
                <w:rFonts w:cstheme="minorHAnsi"/>
                <w:sz w:val="24"/>
                <w:szCs w:val="24"/>
                <w:lang w:val="es-PA"/>
              </w:rPr>
              <w:t xml:space="preserve"> documentación se archiva en </w:t>
            </w:r>
            <w:r w:rsidR="00311013">
              <w:rPr>
                <w:rFonts w:cstheme="minorHAnsi"/>
                <w:sz w:val="24"/>
                <w:szCs w:val="24"/>
                <w:lang w:val="es-PA"/>
              </w:rPr>
              <w:t>“no vigentes”</w:t>
            </w:r>
            <w:r w:rsidR="00706B86" w:rsidRPr="009D3C66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:rsidR="00706B86" w:rsidRPr="009D3C66" w:rsidRDefault="00706B86" w:rsidP="005D1DFC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93CEF">
              <w:rPr>
                <w:rFonts w:cstheme="minorHAnsi"/>
                <w:i/>
                <w:sz w:val="24"/>
                <w:szCs w:val="24"/>
                <w:lang w:val="es-PA"/>
              </w:rPr>
              <w:t>Documentación de Comités de Ética</w:t>
            </w:r>
            <w:r w:rsidRPr="00311013">
              <w:rPr>
                <w:rFonts w:cstheme="minorHAnsi"/>
                <w:sz w:val="24"/>
                <w:szCs w:val="24"/>
                <w:lang w:val="es-PA"/>
              </w:rPr>
              <w:t>: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Debe estar clasificado por cada Comité de Ética y cada Comité debe contener las siguientes subdivisiones como mínimo:</w:t>
            </w:r>
          </w:p>
          <w:p w:rsidR="005D1DFC" w:rsidRPr="009D3C66" w:rsidRDefault="005D1DFC" w:rsidP="005D1DFC">
            <w:pPr>
              <w:pStyle w:val="Prrafodelista"/>
              <w:autoSpaceDE w:val="0"/>
              <w:autoSpaceDN w:val="0"/>
              <w:adjustRightInd w:val="0"/>
              <w:ind w:left="1224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706B86" w:rsidRPr="009D3C66" w:rsidRDefault="00311013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Certificacion</w:t>
            </w:r>
            <w:r>
              <w:rPr>
                <w:rFonts w:cstheme="minorHAnsi"/>
                <w:sz w:val="24"/>
                <w:szCs w:val="24"/>
                <w:lang w:val="es-PA"/>
              </w:rPr>
              <w:t>es</w:t>
            </w:r>
          </w:p>
          <w:p w:rsidR="00706B86" w:rsidRPr="009D3C66" w:rsidRDefault="00706B86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Reportes de auditoría y seguimiento</w:t>
            </w:r>
          </w:p>
          <w:p w:rsidR="00706B86" w:rsidRDefault="00706B86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Reportes de proyectos</w:t>
            </w:r>
          </w:p>
          <w:p w:rsidR="00905481" w:rsidRPr="009D3C66" w:rsidRDefault="00905481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Notas</w:t>
            </w:r>
          </w:p>
          <w:p w:rsidR="004A47C1" w:rsidRPr="009D3C66" w:rsidRDefault="00706B86" w:rsidP="004A47C1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Otros</w:t>
            </w:r>
          </w:p>
          <w:p w:rsidR="004A47C1" w:rsidRPr="009D3C66" w:rsidRDefault="00706B86" w:rsidP="004A47C1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93CEF">
              <w:rPr>
                <w:rFonts w:cstheme="minorHAnsi"/>
                <w:i/>
                <w:sz w:val="24"/>
                <w:szCs w:val="24"/>
                <w:lang w:val="es-PA"/>
              </w:rPr>
              <w:t xml:space="preserve">Documentación de </w:t>
            </w:r>
            <w:r w:rsidR="00991B6D" w:rsidRPr="00293CEF">
              <w:rPr>
                <w:rFonts w:cstheme="minorHAnsi"/>
                <w:i/>
                <w:sz w:val="24"/>
                <w:szCs w:val="24"/>
                <w:lang w:val="es-PA"/>
              </w:rPr>
              <w:t>Estudios</w:t>
            </w:r>
            <w:r w:rsidRPr="00293CEF">
              <w:rPr>
                <w:rFonts w:cstheme="minorHAnsi"/>
                <w:i/>
                <w:sz w:val="24"/>
                <w:szCs w:val="24"/>
                <w:lang w:val="es-PA"/>
              </w:rPr>
              <w:t xml:space="preserve"> para revisión del </w:t>
            </w:r>
            <w:r w:rsidR="00991B6D" w:rsidRPr="00293CEF">
              <w:rPr>
                <w:rFonts w:cstheme="minorHAnsi"/>
                <w:i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: Debe estar clasificada por </w:t>
            </w:r>
            <w:r w:rsidR="00991B6D" w:rsidRPr="009D3C66">
              <w:rPr>
                <w:rFonts w:cstheme="minorHAnsi"/>
                <w:sz w:val="24"/>
                <w:szCs w:val="24"/>
                <w:lang w:val="es-PA"/>
              </w:rPr>
              <w:t>Estudio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. Cada subdivisión de estudio debe contener como mínimo:</w:t>
            </w:r>
          </w:p>
          <w:p w:rsidR="00905481" w:rsidRDefault="00905481" w:rsidP="004A47C1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Aprobaciones </w:t>
            </w:r>
          </w:p>
          <w:p w:rsidR="004A47C1" w:rsidRDefault="00706B86" w:rsidP="004A47C1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Sometimientos</w:t>
            </w:r>
          </w:p>
          <w:p w:rsidR="004A47C1" w:rsidRPr="009D3C66" w:rsidRDefault="00706B86" w:rsidP="004A47C1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Correspondencia</w:t>
            </w:r>
          </w:p>
          <w:p w:rsidR="004A47C1" w:rsidRPr="009D3C66" w:rsidRDefault="00706B86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Notas de revisión de </w:t>
            </w:r>
            <w:r w:rsidR="00991B6D" w:rsidRPr="009D3C66">
              <w:rPr>
                <w:rFonts w:cstheme="minorHAnsi"/>
                <w:sz w:val="24"/>
                <w:szCs w:val="24"/>
                <w:lang w:val="es-PA"/>
              </w:rPr>
              <w:t>estudio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, ej. Listas de verificación para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consentimiento informado o revisión inicial de proyectos.</w:t>
            </w:r>
          </w:p>
          <w:p w:rsidR="004A47C1" w:rsidRPr="009D3C66" w:rsidRDefault="00706B86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Reportes de Seguridad</w:t>
            </w:r>
          </w:p>
          <w:p w:rsidR="004A47C1" w:rsidRPr="009D3C66" w:rsidRDefault="00706B86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Auditorías</w:t>
            </w:r>
          </w:p>
          <w:p w:rsidR="004A47C1" w:rsidRPr="009D3C66" w:rsidRDefault="00706B86" w:rsidP="00706B86">
            <w:pPr>
              <w:pStyle w:val="Prrafodelista"/>
              <w:numPr>
                <w:ilvl w:val="3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Otros</w:t>
            </w:r>
          </w:p>
          <w:p w:rsidR="004A47C1" w:rsidRPr="009D3C66" w:rsidRDefault="004A47C1" w:rsidP="004A47C1">
            <w:pPr>
              <w:pStyle w:val="Prrafodelista"/>
              <w:autoSpaceDE w:val="0"/>
              <w:autoSpaceDN w:val="0"/>
              <w:adjustRightInd w:val="0"/>
              <w:ind w:left="1728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4A47C1" w:rsidRPr="009D3C66" w:rsidRDefault="00706B86" w:rsidP="00706B86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93CEF">
              <w:rPr>
                <w:rFonts w:cstheme="minorHAnsi"/>
                <w:i/>
                <w:sz w:val="24"/>
                <w:szCs w:val="24"/>
                <w:lang w:val="es-PA"/>
              </w:rPr>
              <w:t xml:space="preserve">Documentación de Reuniones del </w:t>
            </w:r>
            <w:r w:rsidR="00991B6D" w:rsidRPr="00293CEF">
              <w:rPr>
                <w:rFonts w:cstheme="minorHAnsi"/>
                <w:i/>
                <w:sz w:val="24"/>
                <w:szCs w:val="24"/>
                <w:lang w:val="es-PA"/>
              </w:rPr>
              <w:t>CNBI</w:t>
            </w:r>
            <w:r w:rsidRPr="00293CEF">
              <w:rPr>
                <w:rFonts w:cstheme="minorHAnsi"/>
                <w:i/>
                <w:sz w:val="24"/>
                <w:szCs w:val="24"/>
                <w:lang w:val="es-PA"/>
              </w:rPr>
              <w:t>: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Debe estar clasificado por mes,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conteniendo las Actas de </w:t>
            </w:r>
            <w:r w:rsidR="00293CEF">
              <w:rPr>
                <w:rFonts w:cstheme="minorHAnsi"/>
                <w:sz w:val="24"/>
                <w:szCs w:val="24"/>
                <w:lang w:val="es-PA"/>
              </w:rPr>
              <w:t>las r</w:t>
            </w:r>
            <w:r w:rsidR="00293CEF" w:rsidRPr="009D3C66">
              <w:rPr>
                <w:rFonts w:cstheme="minorHAnsi"/>
                <w:sz w:val="24"/>
                <w:szCs w:val="24"/>
                <w:lang w:val="es-PA"/>
              </w:rPr>
              <w:t>euni</w:t>
            </w:r>
            <w:r w:rsidR="00293CEF">
              <w:rPr>
                <w:rFonts w:cstheme="minorHAnsi"/>
                <w:sz w:val="24"/>
                <w:szCs w:val="24"/>
                <w:lang w:val="es-PA"/>
              </w:rPr>
              <w:t>ones</w:t>
            </w:r>
            <w:r w:rsidR="00293CEF" w:rsidRPr="009D3C66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así como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cualquier otro documento adicional generado durante las sesiones del comité.</w:t>
            </w:r>
          </w:p>
          <w:p w:rsidR="00991B6D" w:rsidRPr="009D3C66" w:rsidRDefault="00991B6D" w:rsidP="00991B6D">
            <w:pPr>
              <w:pStyle w:val="Prrafodelista"/>
              <w:autoSpaceDE w:val="0"/>
              <w:autoSpaceDN w:val="0"/>
              <w:adjustRightInd w:val="0"/>
              <w:ind w:left="1224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4A47C1" w:rsidRPr="009D3C66" w:rsidRDefault="00706B86" w:rsidP="00706B86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293CEF">
              <w:rPr>
                <w:rFonts w:cstheme="minorHAnsi"/>
                <w:i/>
                <w:sz w:val="24"/>
                <w:szCs w:val="24"/>
                <w:lang w:val="es-PA"/>
              </w:rPr>
              <w:t>Documentación de Sitios de Investigación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: Debe estar clasificada por Sitio de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Investigación y debe contener toda la documentación generada en la auditoría de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sitios de investigación y su seguimiento.</w:t>
            </w:r>
          </w:p>
          <w:p w:rsidR="00991B6D" w:rsidRPr="009D3C66" w:rsidRDefault="00991B6D" w:rsidP="00991B6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4A47C1" w:rsidRPr="009D3C66" w:rsidRDefault="00706B86" w:rsidP="00706B86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La estructura anterior representa una base para el archivo del </w:t>
            </w:r>
            <w:r w:rsidR="00991B6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, de ser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necesario se pueden crear divisiones/subdivisiones adicionales según se considere.</w:t>
            </w:r>
          </w:p>
          <w:p w:rsidR="004A47C1" w:rsidRPr="009D3C66" w:rsidRDefault="004A47C1" w:rsidP="004A47C1">
            <w:pPr>
              <w:pStyle w:val="Prrafodelista"/>
              <w:autoSpaceDE w:val="0"/>
              <w:autoSpaceDN w:val="0"/>
              <w:adjustRightInd w:val="0"/>
              <w:ind w:left="1224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706B86" w:rsidRPr="009D3C66" w:rsidRDefault="00706B86" w:rsidP="004A47C1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b/>
                <w:bCs/>
                <w:sz w:val="24"/>
                <w:szCs w:val="24"/>
                <w:lang w:val="es-PA"/>
              </w:rPr>
              <w:t>Custodia de la Documentación Física</w:t>
            </w:r>
          </w:p>
          <w:p w:rsidR="004A47C1" w:rsidRPr="009D3C66" w:rsidRDefault="004A47C1" w:rsidP="004A47C1">
            <w:pPr>
              <w:pStyle w:val="Prrafodelista"/>
              <w:autoSpaceDE w:val="0"/>
              <w:autoSpaceDN w:val="0"/>
              <w:adjustRightInd w:val="0"/>
              <w:ind w:left="792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706B86" w:rsidRPr="009D3C66" w:rsidRDefault="00706B86" w:rsidP="00F16EF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9D3C66">
              <w:rPr>
                <w:rFonts w:cstheme="minorHAnsi"/>
                <w:sz w:val="24"/>
                <w:szCs w:val="24"/>
                <w:lang w:val="es-PA"/>
              </w:rPr>
              <w:t>La correspondencia y documentación física correspondi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ente a protocolos, es mantenida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por el </w:t>
            </w:r>
            <w:r w:rsidR="00F16EF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por un mínimo de 4 años posterior a la finalización de los mis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mos, al cabo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de este tiempo, la documentación será escanea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da y su copia física destruida.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El resto de la </w:t>
            </w:r>
            <w:r w:rsidR="00E54BE2" w:rsidRPr="009D3C66">
              <w:rPr>
                <w:rFonts w:cstheme="minorHAnsi"/>
                <w:sz w:val="24"/>
                <w:szCs w:val="24"/>
                <w:lang w:val="es-PA"/>
              </w:rPr>
              <w:t>documentación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es mantenida por e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l </w:t>
            </w:r>
            <w:r w:rsidR="00F16EF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por un mínimo de 5 años,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posterior a los cuales se solicita la autorización al </w:t>
            </w:r>
            <w:proofErr w:type="gramStart"/>
            <w:r w:rsidRPr="009D3C66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del </w:t>
            </w:r>
            <w:r w:rsidR="00F16EFD" w:rsidRPr="009D3C66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 xml:space="preserve"> para su</w:t>
            </w:r>
            <w:r w:rsidR="004A47C1" w:rsidRPr="009D3C66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9D3C66">
              <w:rPr>
                <w:rFonts w:cstheme="minorHAnsi"/>
                <w:sz w:val="24"/>
                <w:szCs w:val="24"/>
                <w:lang w:val="es-PA"/>
              </w:rPr>
              <w:t>destrucción, previo escaneo de la misma.</w:t>
            </w:r>
          </w:p>
        </w:tc>
      </w:tr>
    </w:tbl>
    <w:p w:rsidR="00471446" w:rsidRPr="009D3C66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9D3C66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9D3C66" w:rsidTr="00293CEF">
        <w:tc>
          <w:tcPr>
            <w:tcW w:w="10349" w:type="dxa"/>
            <w:shd w:val="clear" w:color="auto" w:fill="C2D69B" w:themeFill="accent3" w:themeFillTint="99"/>
          </w:tcPr>
          <w:p w:rsidR="00471446" w:rsidRPr="009D3C66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9D3C66" w:rsidTr="005B3D6D">
        <w:tc>
          <w:tcPr>
            <w:tcW w:w="10349" w:type="dxa"/>
          </w:tcPr>
          <w:p w:rsidR="004E0B44" w:rsidRPr="009D3C66" w:rsidRDefault="00293CEF" w:rsidP="004E0B4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>Registro de Correspondencia</w:t>
            </w:r>
          </w:p>
          <w:p w:rsidR="00471446" w:rsidRPr="009D3C66" w:rsidRDefault="00471446" w:rsidP="00F16EFD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A85348" w:rsidRPr="009D3C66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1546EB" w:rsidRPr="009D3C66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9D3C66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9D3C66" w:rsidTr="00293CEF">
        <w:tc>
          <w:tcPr>
            <w:tcW w:w="10349" w:type="dxa"/>
            <w:shd w:val="clear" w:color="auto" w:fill="C2D69B" w:themeFill="accent3" w:themeFillTint="99"/>
            <w:vAlign w:val="center"/>
          </w:tcPr>
          <w:p w:rsidR="001546EB" w:rsidRPr="009D3C66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9D3C66" w:rsidTr="00293CEF">
        <w:tc>
          <w:tcPr>
            <w:tcW w:w="2987" w:type="dxa"/>
            <w:shd w:val="clear" w:color="auto" w:fill="C2D69B" w:themeFill="accent3" w:themeFillTint="99"/>
            <w:vAlign w:val="center"/>
          </w:tcPr>
          <w:p w:rsidR="00CA4235" w:rsidRPr="009D3C66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9D3C66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9D3C66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CA4235" w:rsidRPr="009D3C66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9D3C66" w:rsidTr="005B3D6D">
        <w:tc>
          <w:tcPr>
            <w:tcW w:w="2987" w:type="dxa"/>
            <w:vAlign w:val="center"/>
          </w:tcPr>
          <w:p w:rsidR="00CA4235" w:rsidRPr="009D3C66" w:rsidRDefault="00293CEF" w:rsidP="00F21E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</w:t>
            </w:r>
            <w:r w:rsidR="00FB5CC2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embre 2017</w:t>
            </w:r>
          </w:p>
        </w:tc>
        <w:tc>
          <w:tcPr>
            <w:tcW w:w="2244" w:type="dxa"/>
            <w:vAlign w:val="center"/>
          </w:tcPr>
          <w:p w:rsidR="00CA4235" w:rsidRPr="009D3C66" w:rsidRDefault="00293CEF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v. 1.3 </w:t>
            </w:r>
            <w:proofErr w:type="gramStart"/>
            <w:r w:rsidR="00B938CA" w:rsidRPr="009D3C66">
              <w:rPr>
                <w:rFonts w:cstheme="minorHAnsi"/>
                <w:sz w:val="24"/>
                <w:szCs w:val="24"/>
              </w:rPr>
              <w:t>Junio</w:t>
            </w:r>
            <w:proofErr w:type="gramEnd"/>
            <w:r w:rsidR="00B938CA" w:rsidRPr="009D3C66">
              <w:rPr>
                <w:rFonts w:cstheme="minorHAnsi"/>
                <w:sz w:val="24"/>
                <w:szCs w:val="24"/>
              </w:rPr>
              <w:t xml:space="preserve"> 2016</w:t>
            </w:r>
          </w:p>
        </w:tc>
        <w:tc>
          <w:tcPr>
            <w:tcW w:w="2245" w:type="dxa"/>
            <w:vAlign w:val="center"/>
          </w:tcPr>
          <w:p w:rsidR="00CA4235" w:rsidRPr="009D3C66" w:rsidRDefault="00293CEF" w:rsidP="004E0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Estilo</w:t>
            </w:r>
          </w:p>
        </w:tc>
        <w:tc>
          <w:tcPr>
            <w:tcW w:w="2873" w:type="dxa"/>
            <w:vAlign w:val="center"/>
          </w:tcPr>
          <w:p w:rsidR="00CA4235" w:rsidRPr="009D3C66" w:rsidRDefault="00293CEF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Revisión general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diciembre 2017</w:t>
            </w:r>
          </w:p>
        </w:tc>
      </w:tr>
    </w:tbl>
    <w:p w:rsidR="00912B70" w:rsidRPr="009D3C66" w:rsidRDefault="00912B70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912B70" w:rsidRPr="009D3C66" w:rsidRDefault="00912B70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9D3C66" w:rsidTr="00293CEF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:rsidR="001335DF" w:rsidRPr="009D3C66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9D3C66" w:rsidTr="00293CEF">
        <w:tc>
          <w:tcPr>
            <w:tcW w:w="5231" w:type="dxa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9D3C66" w:rsidTr="005B3D6D">
        <w:trPr>
          <w:trHeight w:val="469"/>
        </w:trPr>
        <w:tc>
          <w:tcPr>
            <w:tcW w:w="5231" w:type="dxa"/>
            <w:vAlign w:val="center"/>
          </w:tcPr>
          <w:p w:rsidR="00371690" w:rsidRPr="009D3C66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9D3C66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9D3C66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9D3C66" w:rsidTr="00293CEF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9D3C66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9D3C66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9D3C66" w:rsidTr="00293CEF">
        <w:tc>
          <w:tcPr>
            <w:tcW w:w="5231" w:type="dxa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C66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9D3C66" w:rsidTr="005B3D6D">
        <w:trPr>
          <w:trHeight w:val="469"/>
        </w:trPr>
        <w:tc>
          <w:tcPr>
            <w:tcW w:w="5231" w:type="dxa"/>
            <w:vAlign w:val="center"/>
          </w:tcPr>
          <w:p w:rsidR="00371690" w:rsidRPr="009D3C66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9D3C66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9D3C66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C66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9D3C66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0493A" w:rsidRPr="009D3C66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9D3C66" w:rsidRDefault="00CA4235" w:rsidP="00912B70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9D3C66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92" w:rsidRDefault="00991592" w:rsidP="00CA4235">
      <w:pPr>
        <w:spacing w:after="0" w:line="240" w:lineRule="auto"/>
      </w:pPr>
      <w:r>
        <w:separator/>
      </w:r>
    </w:p>
  </w:endnote>
  <w:endnote w:type="continuationSeparator" w:id="0">
    <w:p w:rsidR="00991592" w:rsidRDefault="00991592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F6" w:rsidRPr="0060493A" w:rsidRDefault="00190EF6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190EF6" w:rsidRDefault="00190EF6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683CC4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683CC4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9F71F9" w:rsidRPr="009F71F9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683CC4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99159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99159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99159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9F71F9" w:rsidRPr="009F71F9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="00991592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190EF6" w:rsidRPr="0060493A" w:rsidRDefault="00190EF6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92" w:rsidRDefault="00991592" w:rsidP="00CA4235">
      <w:pPr>
        <w:spacing w:after="0" w:line="240" w:lineRule="auto"/>
      </w:pPr>
      <w:r>
        <w:separator/>
      </w:r>
    </w:p>
  </w:footnote>
  <w:footnote w:type="continuationSeparator" w:id="0">
    <w:p w:rsidR="00991592" w:rsidRDefault="00991592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EF6" w:rsidRDefault="00190EF6" w:rsidP="00781A7C">
    <w:pPr>
      <w:spacing w:after="0" w:line="240" w:lineRule="auto"/>
      <w:jc w:val="right"/>
      <w:rPr>
        <w:sz w:val="20"/>
      </w:rPr>
    </w:pPr>
  </w:p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505"/>
      <w:gridCol w:w="6758"/>
    </w:tblGrid>
    <w:tr w:rsidR="00190EF6" w:rsidTr="004322FA">
      <w:trPr>
        <w:trHeight w:val="564"/>
      </w:trPr>
      <w:tc>
        <w:tcPr>
          <w:tcW w:w="35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90EF6" w:rsidRDefault="00DC4573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09A3B054" wp14:editId="67B04C0C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90EF6" w:rsidRDefault="00190EF6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:rsidR="00190EF6" w:rsidRPr="009D3C66" w:rsidRDefault="00190EF6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9D3C66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9D3C66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190EF6" w:rsidRDefault="00190EF6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9D3C66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190EF6" w:rsidTr="004322FA">
      <w:trPr>
        <w:trHeight w:val="564"/>
      </w:trPr>
      <w:tc>
        <w:tcPr>
          <w:tcW w:w="35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190EF6" w:rsidRPr="00B46585" w:rsidRDefault="00190EF6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B46585">
            <w:rPr>
              <w:rFonts w:cstheme="minorHAnsi"/>
              <w:b/>
              <w:sz w:val="24"/>
              <w:szCs w:val="24"/>
            </w:rPr>
            <w:t>Código: PO-003</w:t>
          </w:r>
        </w:p>
      </w:tc>
      <w:tc>
        <w:tcPr>
          <w:tcW w:w="67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90EF6" w:rsidRPr="00B46585" w:rsidRDefault="00190EF6" w:rsidP="005E4C0B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B46585">
            <w:rPr>
              <w:rFonts w:cstheme="minorHAnsi"/>
              <w:b/>
              <w:sz w:val="24"/>
              <w:szCs w:val="24"/>
            </w:rPr>
            <w:t xml:space="preserve">Título: Manejo de la Correspondencia y Archivo </w:t>
          </w:r>
        </w:p>
      </w:tc>
    </w:tr>
    <w:tr w:rsidR="00AF30B4" w:rsidTr="00870864">
      <w:trPr>
        <w:trHeight w:val="564"/>
      </w:trPr>
      <w:tc>
        <w:tcPr>
          <w:tcW w:w="35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AF30B4" w:rsidRPr="009D3C66" w:rsidRDefault="00AF30B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9D3C66">
            <w:rPr>
              <w:rFonts w:cstheme="minorHAnsi"/>
              <w:b/>
              <w:sz w:val="24"/>
              <w:szCs w:val="24"/>
            </w:rPr>
            <w:t>Versión 1.</w:t>
          </w:r>
          <w:r w:rsidR="0046345C">
            <w:rPr>
              <w:rFonts w:cstheme="minorHAnsi"/>
              <w:b/>
              <w:sz w:val="24"/>
              <w:szCs w:val="24"/>
            </w:rPr>
            <w:t>4</w:t>
          </w:r>
          <w:r w:rsidRPr="009D3C66">
            <w:rPr>
              <w:rFonts w:cstheme="minorHAnsi"/>
              <w:b/>
              <w:sz w:val="24"/>
              <w:szCs w:val="24"/>
            </w:rPr>
            <w:t xml:space="preserve"> </w:t>
          </w:r>
        </w:p>
      </w:tc>
      <w:tc>
        <w:tcPr>
          <w:tcW w:w="67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F30B4" w:rsidRPr="009D3C66" w:rsidRDefault="00AF30B4" w:rsidP="005E4C0B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9D3C66">
            <w:rPr>
              <w:rFonts w:cstheme="minorHAnsi"/>
              <w:sz w:val="24"/>
              <w:szCs w:val="24"/>
            </w:rPr>
            <w:t>Fecha:</w:t>
          </w:r>
          <w:r w:rsidR="00B46585">
            <w:rPr>
              <w:rFonts w:cstheme="minorHAnsi"/>
              <w:sz w:val="24"/>
              <w:szCs w:val="24"/>
            </w:rPr>
            <w:t xml:space="preserve"> </w:t>
          </w:r>
          <w:proofErr w:type="gramStart"/>
          <w:r w:rsidR="00B46585">
            <w:rPr>
              <w:rFonts w:cstheme="minorHAnsi"/>
              <w:sz w:val="24"/>
              <w:szCs w:val="24"/>
            </w:rPr>
            <w:t>D</w:t>
          </w:r>
          <w:r w:rsidR="009D3C66">
            <w:rPr>
              <w:rFonts w:cstheme="minorHAnsi"/>
              <w:sz w:val="24"/>
              <w:szCs w:val="24"/>
            </w:rPr>
            <w:t>i</w:t>
          </w:r>
          <w:r w:rsidR="00DF3F5C">
            <w:rPr>
              <w:rFonts w:cstheme="minorHAnsi"/>
              <w:sz w:val="24"/>
              <w:szCs w:val="24"/>
            </w:rPr>
            <w:t>ci</w:t>
          </w:r>
          <w:r w:rsidR="009D3C66">
            <w:rPr>
              <w:rFonts w:cstheme="minorHAnsi"/>
              <w:sz w:val="24"/>
              <w:szCs w:val="24"/>
            </w:rPr>
            <w:t>embre</w:t>
          </w:r>
          <w:proofErr w:type="gramEnd"/>
          <w:r w:rsidR="009D3C66">
            <w:rPr>
              <w:rFonts w:cstheme="minorHAnsi"/>
              <w:sz w:val="24"/>
              <w:szCs w:val="24"/>
            </w:rPr>
            <w:t xml:space="preserve"> 2017</w:t>
          </w:r>
        </w:p>
      </w:tc>
    </w:tr>
  </w:tbl>
  <w:p w:rsidR="00190EF6" w:rsidRPr="00733B85" w:rsidRDefault="00190EF6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26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848E8"/>
    <w:rsid w:val="000D10DC"/>
    <w:rsid w:val="000E7608"/>
    <w:rsid w:val="00131820"/>
    <w:rsid w:val="001335DF"/>
    <w:rsid w:val="00136EDE"/>
    <w:rsid w:val="001546EB"/>
    <w:rsid w:val="001615F1"/>
    <w:rsid w:val="00190EF6"/>
    <w:rsid w:val="001A1F3B"/>
    <w:rsid w:val="001B00A7"/>
    <w:rsid w:val="001B7362"/>
    <w:rsid w:val="001C1173"/>
    <w:rsid w:val="001E4998"/>
    <w:rsid w:val="001F65FC"/>
    <w:rsid w:val="002425F0"/>
    <w:rsid w:val="00293CEF"/>
    <w:rsid w:val="002A2AC2"/>
    <w:rsid w:val="00311013"/>
    <w:rsid w:val="00371690"/>
    <w:rsid w:val="003D307F"/>
    <w:rsid w:val="003F5189"/>
    <w:rsid w:val="004322FA"/>
    <w:rsid w:val="0046345C"/>
    <w:rsid w:val="00471446"/>
    <w:rsid w:val="00493526"/>
    <w:rsid w:val="00496674"/>
    <w:rsid w:val="004A47C1"/>
    <w:rsid w:val="004D2476"/>
    <w:rsid w:val="004E0B44"/>
    <w:rsid w:val="005B3D6D"/>
    <w:rsid w:val="005D1DFC"/>
    <w:rsid w:val="005E4C0B"/>
    <w:rsid w:val="005F2A9D"/>
    <w:rsid w:val="0060493A"/>
    <w:rsid w:val="0067748A"/>
    <w:rsid w:val="00683CC4"/>
    <w:rsid w:val="00684079"/>
    <w:rsid w:val="00706B86"/>
    <w:rsid w:val="00733B85"/>
    <w:rsid w:val="00745056"/>
    <w:rsid w:val="00770571"/>
    <w:rsid w:val="007766B1"/>
    <w:rsid w:val="00781A7C"/>
    <w:rsid w:val="007D04B4"/>
    <w:rsid w:val="007F587D"/>
    <w:rsid w:val="008341C7"/>
    <w:rsid w:val="008359AF"/>
    <w:rsid w:val="00841BE7"/>
    <w:rsid w:val="00870864"/>
    <w:rsid w:val="00893667"/>
    <w:rsid w:val="0089761D"/>
    <w:rsid w:val="008A2FDD"/>
    <w:rsid w:val="008A378D"/>
    <w:rsid w:val="008B48C4"/>
    <w:rsid w:val="008C7502"/>
    <w:rsid w:val="008E0BE5"/>
    <w:rsid w:val="00905481"/>
    <w:rsid w:val="00912B70"/>
    <w:rsid w:val="00991592"/>
    <w:rsid w:val="00991B6D"/>
    <w:rsid w:val="009D3C66"/>
    <w:rsid w:val="009F71F9"/>
    <w:rsid w:val="00A15235"/>
    <w:rsid w:val="00A32302"/>
    <w:rsid w:val="00A471ED"/>
    <w:rsid w:val="00A50603"/>
    <w:rsid w:val="00A55177"/>
    <w:rsid w:val="00A71565"/>
    <w:rsid w:val="00A85348"/>
    <w:rsid w:val="00AC0309"/>
    <w:rsid w:val="00AF30B4"/>
    <w:rsid w:val="00AF6BC2"/>
    <w:rsid w:val="00B100BA"/>
    <w:rsid w:val="00B46585"/>
    <w:rsid w:val="00B938CA"/>
    <w:rsid w:val="00C15BD9"/>
    <w:rsid w:val="00C759C3"/>
    <w:rsid w:val="00CA4235"/>
    <w:rsid w:val="00D263A3"/>
    <w:rsid w:val="00DA2677"/>
    <w:rsid w:val="00DC4573"/>
    <w:rsid w:val="00DF3F5C"/>
    <w:rsid w:val="00E11F22"/>
    <w:rsid w:val="00E179DF"/>
    <w:rsid w:val="00E53B51"/>
    <w:rsid w:val="00E54BE2"/>
    <w:rsid w:val="00E959C5"/>
    <w:rsid w:val="00EA2A08"/>
    <w:rsid w:val="00EA46CE"/>
    <w:rsid w:val="00EC6A38"/>
    <w:rsid w:val="00EC734D"/>
    <w:rsid w:val="00EC7E26"/>
    <w:rsid w:val="00EF1BF8"/>
    <w:rsid w:val="00F10947"/>
    <w:rsid w:val="00F16EFD"/>
    <w:rsid w:val="00F21EFA"/>
    <w:rsid w:val="00F364D9"/>
    <w:rsid w:val="00F37C5E"/>
    <w:rsid w:val="00F52203"/>
    <w:rsid w:val="00F70234"/>
    <w:rsid w:val="00F878D5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4D540B"/>
  <w15:docId w15:val="{DBDC7F79-2273-4B1B-85FD-A1CC2EF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A4DF-85CC-4EBB-A8FB-D0057BA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Tunon</dc:creator>
  <cp:lastModifiedBy>Magalys Quintana Tuñon</cp:lastModifiedBy>
  <cp:revision>11</cp:revision>
  <cp:lastPrinted>2017-12-21T19:42:00Z</cp:lastPrinted>
  <dcterms:created xsi:type="dcterms:W3CDTF">2017-12-20T19:17:00Z</dcterms:created>
  <dcterms:modified xsi:type="dcterms:W3CDTF">2019-04-05T13:45:00Z</dcterms:modified>
</cp:coreProperties>
</file>