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4044D8" w14:paraId="66D99C4D" w14:textId="77777777" w:rsidTr="004044D8">
        <w:tc>
          <w:tcPr>
            <w:tcW w:w="10349" w:type="dxa"/>
            <w:shd w:val="clear" w:color="auto" w:fill="C2D69B" w:themeFill="accent3" w:themeFillTint="99"/>
          </w:tcPr>
          <w:p w14:paraId="78D38D1D" w14:textId="77777777" w:rsidR="00471446" w:rsidRPr="004044D8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4044D8" w14:paraId="610BD5DA" w14:textId="77777777" w:rsidTr="00215110">
        <w:tc>
          <w:tcPr>
            <w:tcW w:w="10349" w:type="dxa"/>
            <w:tcBorders>
              <w:bottom w:val="dotted" w:sz="4" w:space="0" w:color="auto"/>
            </w:tcBorders>
          </w:tcPr>
          <w:p w14:paraId="454E1F19" w14:textId="124BE58C" w:rsidR="00471446" w:rsidRPr="004044D8" w:rsidRDefault="00185E77" w:rsidP="000924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>Determinar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 xml:space="preserve"> el proceso por e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cual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se generan y se actualizan los 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 xml:space="preserve">documentos que describen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="007D1869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composición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de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 xml:space="preserve"> los Miembros del Comité Nacional de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Bioé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>tica de la Investigación de</w:t>
            </w:r>
            <w:r w:rsidR="0009243F" w:rsidRPr="004044D8">
              <w:rPr>
                <w:rFonts w:cstheme="minorHAnsi"/>
                <w:sz w:val="24"/>
                <w:szCs w:val="24"/>
                <w:lang w:val="es-PA"/>
              </w:rPr>
              <w:t xml:space="preserve"> Panamá y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 xml:space="preserve"> su</w:t>
            </w:r>
            <w:r w:rsidR="007D1869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>apego a los Lineami</w:t>
            </w:r>
            <w:r w:rsidR="0009243F" w:rsidRPr="004044D8">
              <w:rPr>
                <w:rFonts w:cstheme="minorHAnsi"/>
                <w:sz w:val="24"/>
                <w:szCs w:val="24"/>
                <w:lang w:val="es-PA"/>
              </w:rPr>
              <w:t>entos de Buena Práctica Clínica.</w:t>
            </w:r>
          </w:p>
        </w:tc>
      </w:tr>
      <w:tr w:rsidR="00471446" w:rsidRPr="004044D8" w14:paraId="164DF408" w14:textId="77777777" w:rsidTr="004044D8">
        <w:tc>
          <w:tcPr>
            <w:tcW w:w="10349" w:type="dxa"/>
            <w:shd w:val="clear" w:color="auto" w:fill="C2D69B" w:themeFill="accent3" w:themeFillTint="99"/>
          </w:tcPr>
          <w:p w14:paraId="1E17E8E2" w14:textId="77777777" w:rsidR="00471446" w:rsidRPr="004044D8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4044D8" w14:paraId="1B1AA97C" w14:textId="77777777" w:rsidTr="00215110">
        <w:tc>
          <w:tcPr>
            <w:tcW w:w="10349" w:type="dxa"/>
          </w:tcPr>
          <w:p w14:paraId="479786C9" w14:textId="77777777" w:rsidR="00471446" w:rsidRPr="004044D8" w:rsidRDefault="00185E77" w:rsidP="00185E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>Este procedimiento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 xml:space="preserve"> incluye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="007C4E3C" w:rsidRPr="004044D8">
              <w:rPr>
                <w:rFonts w:cstheme="minorHAnsi"/>
                <w:sz w:val="24"/>
                <w:szCs w:val="24"/>
                <w:lang w:val="es-PA"/>
              </w:rPr>
              <w:t xml:space="preserve"> todos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los miembros del Comité Nacional de Bioética de la Investigación de Panamá.</w:t>
            </w:r>
          </w:p>
        </w:tc>
      </w:tr>
    </w:tbl>
    <w:p w14:paraId="68E4B311" w14:textId="77777777" w:rsidR="00471446" w:rsidRPr="004044D8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28B675C8" w14:textId="77777777" w:rsidR="00A85348" w:rsidRPr="004044D8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4044D8" w14:paraId="4BB67E39" w14:textId="77777777" w:rsidTr="004044D8">
        <w:tc>
          <w:tcPr>
            <w:tcW w:w="10349" w:type="dxa"/>
            <w:gridSpan w:val="2"/>
            <w:shd w:val="clear" w:color="auto" w:fill="C2D69B" w:themeFill="accent3" w:themeFillTint="99"/>
          </w:tcPr>
          <w:p w14:paraId="7AD154FE" w14:textId="77777777" w:rsidR="00471446" w:rsidRPr="004044D8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4044D8" w14:paraId="164F398C" w14:textId="77777777" w:rsidTr="00215110">
        <w:tc>
          <w:tcPr>
            <w:tcW w:w="2694" w:type="dxa"/>
          </w:tcPr>
          <w:p w14:paraId="3315248E" w14:textId="77777777" w:rsidR="00471446" w:rsidRPr="004044D8" w:rsidRDefault="007C4E3C" w:rsidP="00350E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Buena </w:t>
            </w:r>
            <w:r w:rsidR="00185E77" w:rsidRPr="004044D8">
              <w:rPr>
                <w:rFonts w:cstheme="minorHAnsi"/>
                <w:sz w:val="24"/>
                <w:szCs w:val="24"/>
                <w:lang w:val="es-PA"/>
              </w:rPr>
              <w:t>Práctica</w:t>
            </w:r>
            <w:r w:rsidR="007D1869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185E77" w:rsidRPr="004044D8">
              <w:rPr>
                <w:rFonts w:cstheme="minorHAnsi"/>
                <w:sz w:val="24"/>
                <w:szCs w:val="24"/>
                <w:lang w:val="es-PA"/>
              </w:rPr>
              <w:t>Clínica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7D1869" w:rsidRPr="004044D8">
              <w:rPr>
                <w:rFonts w:cstheme="minorHAnsi"/>
                <w:sz w:val="24"/>
                <w:szCs w:val="24"/>
                <w:lang w:val="es-PA"/>
              </w:rPr>
              <w:t>(B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PC)</w:t>
            </w:r>
          </w:p>
        </w:tc>
        <w:tc>
          <w:tcPr>
            <w:tcW w:w="7655" w:type="dxa"/>
          </w:tcPr>
          <w:p w14:paraId="4D2818E0" w14:textId="77777777" w:rsidR="00471446" w:rsidRPr="004044D8" w:rsidRDefault="007C4E3C" w:rsidP="00350EC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Norma para el </w:t>
            </w:r>
            <w:r w:rsidR="00185E77" w:rsidRPr="004044D8">
              <w:rPr>
                <w:rFonts w:cstheme="minorHAnsi"/>
                <w:sz w:val="24"/>
                <w:szCs w:val="24"/>
                <w:lang w:val="es-PA"/>
              </w:rPr>
              <w:t>diseño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,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dirección,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realización, cumplimiento, monitoreo,</w:t>
            </w:r>
            <w:r w:rsidR="007D1869" w:rsidRPr="004044D8">
              <w:rPr>
                <w:rFonts w:cstheme="minorHAnsi"/>
                <w:sz w:val="24"/>
                <w:szCs w:val="24"/>
                <w:lang w:val="es-PA"/>
              </w:rPr>
              <w:t xml:space="preserve"> auditoría</w:t>
            </w:r>
            <w:r w:rsidR="00350EC3" w:rsidRPr="004044D8">
              <w:rPr>
                <w:rFonts w:cstheme="minorHAnsi"/>
                <w:sz w:val="24"/>
                <w:szCs w:val="24"/>
                <w:lang w:val="es-PA"/>
              </w:rPr>
              <w:t xml:space="preserve">,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registro, análisis y reporte de estudios </w:t>
            </w:r>
            <w:r w:rsidR="007D1869" w:rsidRPr="004044D8">
              <w:rPr>
                <w:rFonts w:cstheme="minorHAnsi"/>
                <w:sz w:val="24"/>
                <w:szCs w:val="24"/>
                <w:lang w:val="es-PA"/>
              </w:rPr>
              <w:t>clínicos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que asegura que</w:t>
            </w:r>
            <w:r w:rsidR="007D1869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los datos </w:t>
            </w:r>
            <w:r w:rsidR="00350EC3" w:rsidRPr="004044D8">
              <w:rPr>
                <w:rFonts w:cstheme="minorHAnsi"/>
                <w:sz w:val="24"/>
                <w:szCs w:val="24"/>
                <w:lang w:val="es-PA"/>
              </w:rPr>
              <w:t xml:space="preserve">y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resultados obtenidos son precisos y veraces y que se protegen</w:t>
            </w:r>
            <w:r w:rsidR="007D1869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los </w:t>
            </w:r>
            <w:r w:rsidR="00350EC3" w:rsidRPr="004044D8">
              <w:rPr>
                <w:rFonts w:cstheme="minorHAnsi"/>
                <w:sz w:val="24"/>
                <w:szCs w:val="24"/>
                <w:lang w:val="es-PA"/>
              </w:rPr>
              <w:t xml:space="preserve">derechos,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integridad y </w:t>
            </w:r>
            <w:r w:rsidR="007D1869" w:rsidRPr="004044D8">
              <w:rPr>
                <w:rFonts w:cstheme="minorHAnsi"/>
                <w:sz w:val="24"/>
                <w:szCs w:val="24"/>
                <w:lang w:val="es-PA"/>
              </w:rPr>
              <w:t>confidencialidad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de los sujetos del estudio.</w:t>
            </w:r>
          </w:p>
        </w:tc>
      </w:tr>
    </w:tbl>
    <w:p w14:paraId="785F601C" w14:textId="77777777" w:rsidR="00471446" w:rsidRPr="004044D8" w:rsidRDefault="00471446" w:rsidP="00C15BD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4044D8" w14:paraId="0A66402D" w14:textId="77777777" w:rsidTr="004044D8">
        <w:tc>
          <w:tcPr>
            <w:tcW w:w="10349" w:type="dxa"/>
            <w:gridSpan w:val="2"/>
            <w:shd w:val="clear" w:color="auto" w:fill="C2D69B" w:themeFill="accent3" w:themeFillTint="99"/>
          </w:tcPr>
          <w:p w14:paraId="7DF71179" w14:textId="77777777" w:rsidR="00471446" w:rsidRPr="004044D8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4044D8" w14:paraId="6EF87C92" w14:textId="77777777" w:rsidTr="00215110">
        <w:tc>
          <w:tcPr>
            <w:tcW w:w="2694" w:type="dxa"/>
            <w:vAlign w:val="center"/>
          </w:tcPr>
          <w:p w14:paraId="0FB8C382" w14:textId="77777777" w:rsidR="00471446" w:rsidRPr="004044D8" w:rsidRDefault="007C4E3C" w:rsidP="001773C1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044D8">
              <w:rPr>
                <w:rFonts w:cstheme="minorHAnsi"/>
                <w:i/>
                <w:sz w:val="24"/>
                <w:szCs w:val="24"/>
                <w:lang w:val="es-PA"/>
              </w:rPr>
              <w:t xml:space="preserve">Secretaria </w:t>
            </w:r>
            <w:r w:rsidR="001773C1" w:rsidRPr="004044D8">
              <w:rPr>
                <w:rFonts w:cstheme="minorHAnsi"/>
                <w:i/>
                <w:sz w:val="24"/>
                <w:szCs w:val="24"/>
                <w:lang w:val="es-PA"/>
              </w:rPr>
              <w:t>Té</w:t>
            </w:r>
            <w:r w:rsidRPr="004044D8">
              <w:rPr>
                <w:rFonts w:cstheme="minorHAnsi"/>
                <w:i/>
                <w:sz w:val="24"/>
                <w:szCs w:val="24"/>
                <w:lang w:val="es-PA"/>
              </w:rPr>
              <w:t>cni</w:t>
            </w:r>
            <w:r w:rsidR="001773C1" w:rsidRPr="004044D8">
              <w:rPr>
                <w:rFonts w:cstheme="minorHAnsi"/>
                <w:i/>
                <w:sz w:val="24"/>
                <w:szCs w:val="24"/>
                <w:lang w:val="es-PA"/>
              </w:rPr>
              <w:t>ca</w:t>
            </w:r>
          </w:p>
        </w:tc>
        <w:tc>
          <w:tcPr>
            <w:tcW w:w="7655" w:type="dxa"/>
          </w:tcPr>
          <w:p w14:paraId="7D7790BC" w14:textId="745CAD7A" w:rsidR="00471446" w:rsidRPr="004044D8" w:rsidRDefault="007C4E3C" w:rsidP="000924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Responsable de la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actualización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de Listados de Miembros del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CNB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I </w:t>
            </w:r>
            <w:r w:rsidR="00350EC3" w:rsidRPr="004044D8">
              <w:rPr>
                <w:rFonts w:cstheme="minorHAnsi"/>
                <w:sz w:val="24"/>
                <w:szCs w:val="24"/>
                <w:lang w:val="es-PA"/>
              </w:rPr>
              <w:t>y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Responsable de la emisión de </w:t>
            </w:r>
            <w:r w:rsidR="004044D8">
              <w:rPr>
                <w:rFonts w:cstheme="minorHAnsi"/>
                <w:sz w:val="24"/>
                <w:szCs w:val="24"/>
                <w:lang w:val="es-PA"/>
              </w:rPr>
              <w:t>d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eclaraciones de apego a BPC</w:t>
            </w:r>
            <w:r w:rsidR="00350EC3" w:rsidRPr="004044D8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</w:tr>
      <w:tr w:rsidR="00471446" w:rsidRPr="004044D8" w14:paraId="431ADA2C" w14:textId="77777777" w:rsidTr="00215110">
        <w:tc>
          <w:tcPr>
            <w:tcW w:w="2694" w:type="dxa"/>
            <w:vAlign w:val="center"/>
          </w:tcPr>
          <w:p w14:paraId="4DCFEC0B" w14:textId="77777777" w:rsidR="00471446" w:rsidRPr="004044D8" w:rsidRDefault="007C4E3C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044D8">
              <w:rPr>
                <w:rFonts w:cstheme="minorHAnsi"/>
                <w:i/>
                <w:sz w:val="24"/>
                <w:szCs w:val="24"/>
                <w:lang w:val="es-PA"/>
              </w:rPr>
              <w:t xml:space="preserve">Miembros del </w:t>
            </w:r>
            <w:r w:rsidR="001773C1" w:rsidRPr="004044D8">
              <w:rPr>
                <w:rFonts w:cstheme="minorHAnsi"/>
                <w:i/>
                <w:sz w:val="24"/>
                <w:szCs w:val="24"/>
                <w:lang w:val="es-PA"/>
              </w:rPr>
              <w:t>CNB</w:t>
            </w:r>
            <w:r w:rsidRPr="004044D8">
              <w:rPr>
                <w:rFonts w:cstheme="minorHAnsi"/>
                <w:i/>
                <w:sz w:val="24"/>
                <w:szCs w:val="24"/>
                <w:lang w:val="es-PA"/>
              </w:rPr>
              <w:t>I</w:t>
            </w:r>
          </w:p>
        </w:tc>
        <w:tc>
          <w:tcPr>
            <w:tcW w:w="7655" w:type="dxa"/>
          </w:tcPr>
          <w:p w14:paraId="3C9F3757" w14:textId="11468E7E" w:rsidR="00471446" w:rsidRPr="004044D8" w:rsidRDefault="004044D8" w:rsidP="00350EC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Responsables de actualizar cursos de BPC y certificar el seguimiento de las normas de BPC y demás documento y normas de bioética de la investigación en salud. </w:t>
            </w:r>
            <w:r w:rsidR="00350EC3" w:rsidRPr="004044D8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</w:tr>
    </w:tbl>
    <w:p w14:paraId="7830B474" w14:textId="77777777" w:rsidR="00471446" w:rsidRPr="004044D8" w:rsidRDefault="00471446" w:rsidP="00FA1B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4044D8" w14:paraId="1774C846" w14:textId="77777777" w:rsidTr="004044D8">
        <w:tc>
          <w:tcPr>
            <w:tcW w:w="10349" w:type="dxa"/>
            <w:shd w:val="clear" w:color="auto" w:fill="C2D69B" w:themeFill="accent3" w:themeFillTint="99"/>
          </w:tcPr>
          <w:p w14:paraId="7F87CA9C" w14:textId="77777777" w:rsidR="00471446" w:rsidRPr="004044D8" w:rsidRDefault="00471446" w:rsidP="007C4E3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4044D8" w14:paraId="59E83870" w14:textId="77777777" w:rsidTr="00215110">
        <w:tc>
          <w:tcPr>
            <w:tcW w:w="10349" w:type="dxa"/>
          </w:tcPr>
          <w:p w14:paraId="7633D3CF" w14:textId="77777777" w:rsidR="00684079" w:rsidRPr="004044D8" w:rsidRDefault="007C4E3C" w:rsidP="00ED322E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>Emisión y actualización de Listado de Miembros del CN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BI</w:t>
            </w:r>
          </w:p>
          <w:p w14:paraId="3D5196BF" w14:textId="77777777" w:rsidR="007C4E3C" w:rsidRPr="004044D8" w:rsidRDefault="007C4E3C" w:rsidP="00ED322E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Secretaria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Técnica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emite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PT-01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0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Listado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de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Miembros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y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Declaración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de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Adherencia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a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B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PC </w:t>
            </w:r>
            <w:proofErr w:type="gramStart"/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y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otros</w:t>
            </w:r>
            <w:proofErr w:type="gramEnd"/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estándares en Investigación Clínica, al inicio del periodo de labores del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gabinete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que compone el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CNB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I, </w:t>
            </w:r>
            <w:r w:rsidR="00ED322E" w:rsidRPr="004044D8">
              <w:rPr>
                <w:rFonts w:cstheme="minorHAnsi"/>
                <w:sz w:val="24"/>
                <w:szCs w:val="24"/>
                <w:lang w:val="es-PA"/>
              </w:rPr>
              <w:t xml:space="preserve">siendo el primer listado de emisión el año 2015. 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Dicho listado tendrá una validez de 4 años, excepto por cambios en miembros del CN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B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I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7E11029D" w14:textId="77777777" w:rsidR="007C4E3C" w:rsidRPr="004044D8" w:rsidRDefault="007C4E3C" w:rsidP="00ED322E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PT-010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Listado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Miembros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y Declaración de Adherencia a BPC, debe ser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actualizado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por la Secretaria Técnica, en los casos en que sea requerida la sustitución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de u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n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m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iembro antes del período de 4 años por el cual fueron electos, y también al inicio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de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un nuevo peri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odo de labores de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los miembros del CNB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I.</w:t>
            </w:r>
          </w:p>
          <w:p w14:paraId="6D9E2A15" w14:textId="77777777" w:rsidR="007C4E3C" w:rsidRPr="004044D8" w:rsidRDefault="007C4E3C" w:rsidP="00ED322E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Una vez emitido un nuevo Listado de Miembros, éste debe ser firmado por el </w:t>
            </w:r>
            <w:proofErr w:type="gramStart"/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 xml:space="preserve"> d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proofErr w:type="spellStart"/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lastRenderedPageBreak/>
              <w:t>CNB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l</w:t>
            </w:r>
            <w:proofErr w:type="spellEnd"/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antes de su circulación.</w:t>
            </w:r>
          </w:p>
          <w:p w14:paraId="12622313" w14:textId="67B44CBF" w:rsidR="007C4E3C" w:rsidRPr="004044D8" w:rsidRDefault="0086472A" w:rsidP="0009243F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El Listado de Miembros incluye una Declaración de Adherencia a Buena Práctica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Clínica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por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parte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de los miembros del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CNB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I. Dicho Listado puede ser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compartido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 xml:space="preserve"> con externos al 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Comité</w:t>
            </w:r>
            <w:r w:rsidRPr="004044D8">
              <w:rPr>
                <w:rFonts w:cstheme="minorHAnsi"/>
                <w:sz w:val="24"/>
                <w:szCs w:val="24"/>
                <w:lang w:val="es-PA"/>
              </w:rPr>
              <w:t>, por lo cual se coloca como material de referencia en la página Web del C</w:t>
            </w:r>
            <w:r w:rsidR="001773C1" w:rsidRPr="004044D8">
              <w:rPr>
                <w:rFonts w:cstheme="minorHAnsi"/>
                <w:sz w:val="24"/>
                <w:szCs w:val="24"/>
                <w:lang w:val="es-PA"/>
              </w:rPr>
              <w:t>NBI.</w:t>
            </w:r>
          </w:p>
        </w:tc>
      </w:tr>
    </w:tbl>
    <w:p w14:paraId="3CCA04CB" w14:textId="77777777" w:rsidR="00471446" w:rsidRPr="004044D8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2D26AD00" w14:textId="77777777" w:rsidR="00A85348" w:rsidRPr="004044D8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4044D8" w14:paraId="66F48404" w14:textId="77777777" w:rsidTr="004044D8">
        <w:tc>
          <w:tcPr>
            <w:tcW w:w="10349" w:type="dxa"/>
            <w:shd w:val="clear" w:color="auto" w:fill="C2D69B" w:themeFill="accent3" w:themeFillTint="99"/>
          </w:tcPr>
          <w:p w14:paraId="3FC796E4" w14:textId="77777777" w:rsidR="00471446" w:rsidRPr="004044D8" w:rsidRDefault="00471446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4044D8" w14:paraId="51580497" w14:textId="77777777" w:rsidTr="00215110">
        <w:tc>
          <w:tcPr>
            <w:tcW w:w="10349" w:type="dxa"/>
          </w:tcPr>
          <w:p w14:paraId="45CFD62B" w14:textId="7C744F94" w:rsidR="0086472A" w:rsidRPr="004044D8" w:rsidRDefault="0086472A" w:rsidP="0086472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4044D8">
              <w:rPr>
                <w:rFonts w:cstheme="minorHAnsi"/>
                <w:sz w:val="24"/>
                <w:szCs w:val="24"/>
                <w:lang w:val="es-PA"/>
              </w:rPr>
              <w:t>PT-010 Listado de Miembros y Declaración de Adherencia BPC</w:t>
            </w:r>
          </w:p>
        </w:tc>
      </w:tr>
    </w:tbl>
    <w:p w14:paraId="38B4EDF2" w14:textId="77777777" w:rsidR="00A85348" w:rsidRPr="004044D8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101935A2" w14:textId="77777777" w:rsidR="001546EB" w:rsidRPr="004044D8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4044D8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546EB" w:rsidRPr="004044D8" w14:paraId="3FEBD30D" w14:textId="77777777" w:rsidTr="004044D8">
        <w:tc>
          <w:tcPr>
            <w:tcW w:w="10349" w:type="dxa"/>
            <w:shd w:val="clear" w:color="auto" w:fill="C2D69B" w:themeFill="accent3" w:themeFillTint="99"/>
            <w:vAlign w:val="center"/>
          </w:tcPr>
          <w:p w14:paraId="322B3DBA" w14:textId="77777777" w:rsidR="001546EB" w:rsidRPr="004044D8" w:rsidRDefault="001546EB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CA4235" w:rsidRPr="004044D8" w14:paraId="577C1864" w14:textId="77777777" w:rsidTr="004044D8">
        <w:tc>
          <w:tcPr>
            <w:tcW w:w="2987" w:type="dxa"/>
            <w:shd w:val="clear" w:color="auto" w:fill="C2D69B" w:themeFill="accent3" w:themeFillTint="99"/>
            <w:vAlign w:val="center"/>
          </w:tcPr>
          <w:p w14:paraId="550C6254" w14:textId="77777777" w:rsidR="00CA4235" w:rsidRPr="004044D8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57250ABA" w14:textId="77777777" w:rsidR="00CA4235" w:rsidRPr="004044D8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43197615" w14:textId="77777777" w:rsidR="00CA4235" w:rsidRPr="004044D8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42D3EEC7" w14:textId="77777777" w:rsidR="00CA4235" w:rsidRPr="004044D8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4044D8" w14:paraId="15868CA6" w14:textId="77777777" w:rsidTr="00215110">
        <w:tc>
          <w:tcPr>
            <w:tcW w:w="2987" w:type="dxa"/>
            <w:vAlign w:val="center"/>
          </w:tcPr>
          <w:p w14:paraId="4EC094D6" w14:textId="476FC780" w:rsidR="00CA4235" w:rsidRPr="004044D8" w:rsidRDefault="004044D8" w:rsidP="000924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Diciembre 2017</w:t>
            </w:r>
          </w:p>
        </w:tc>
        <w:tc>
          <w:tcPr>
            <w:tcW w:w="2244" w:type="dxa"/>
            <w:vAlign w:val="center"/>
          </w:tcPr>
          <w:p w14:paraId="6F55F637" w14:textId="77777777" w:rsidR="004044D8" w:rsidRDefault="004044D8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Versión 1.1</w:t>
            </w:r>
          </w:p>
          <w:p w14:paraId="4D1AADC8" w14:textId="10684402" w:rsidR="00CA4235" w:rsidRPr="004044D8" w:rsidRDefault="004044D8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junio</w:t>
            </w:r>
            <w:r w:rsidR="0009243F" w:rsidRPr="004044D8">
              <w:rPr>
                <w:rFonts w:cstheme="minorHAnsi"/>
                <w:sz w:val="24"/>
                <w:szCs w:val="24"/>
              </w:rPr>
              <w:t xml:space="preserve"> 2016</w:t>
            </w:r>
          </w:p>
        </w:tc>
        <w:tc>
          <w:tcPr>
            <w:tcW w:w="2245" w:type="dxa"/>
            <w:vAlign w:val="center"/>
          </w:tcPr>
          <w:p w14:paraId="1389BBE8" w14:textId="620C031B" w:rsidR="00CA4235" w:rsidRPr="004044D8" w:rsidRDefault="004044D8" w:rsidP="004E0B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de estilo</w:t>
            </w:r>
          </w:p>
        </w:tc>
        <w:tc>
          <w:tcPr>
            <w:tcW w:w="2873" w:type="dxa"/>
            <w:vAlign w:val="center"/>
          </w:tcPr>
          <w:p w14:paraId="25FA7C7D" w14:textId="35B58912" w:rsidR="00CA4235" w:rsidRPr="004044D8" w:rsidRDefault="004044D8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Revisión general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PTs</w:t>
            </w:r>
            <w:proofErr w:type="spellEnd"/>
            <w:r>
              <w:rPr>
                <w:rFonts w:cstheme="minorHAnsi"/>
                <w:sz w:val="24"/>
                <w:szCs w:val="24"/>
              </w:rPr>
              <w:t>, diciembre 2017</w:t>
            </w:r>
          </w:p>
        </w:tc>
      </w:tr>
    </w:tbl>
    <w:p w14:paraId="65CE697C" w14:textId="77777777" w:rsidR="00CA4235" w:rsidRPr="004044D8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3AB1A831" w14:textId="77777777" w:rsidR="00A85348" w:rsidRPr="004044D8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245"/>
        <w:gridCol w:w="2873"/>
      </w:tblGrid>
      <w:tr w:rsidR="001335DF" w:rsidRPr="004044D8" w14:paraId="0757597A" w14:textId="77777777" w:rsidTr="004044D8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4C8E3A17" w14:textId="77777777" w:rsidR="001335DF" w:rsidRPr="004044D8" w:rsidRDefault="001335DF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4044D8" w14:paraId="33395346" w14:textId="77777777" w:rsidTr="004044D8">
        <w:tc>
          <w:tcPr>
            <w:tcW w:w="5231" w:type="dxa"/>
            <w:shd w:val="clear" w:color="auto" w:fill="C2D69B" w:themeFill="accent3" w:themeFillTint="99"/>
            <w:vAlign w:val="center"/>
          </w:tcPr>
          <w:p w14:paraId="3D105DFC" w14:textId="77777777" w:rsidR="0060493A" w:rsidRPr="004044D8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37F25D05" w14:textId="77777777" w:rsidR="0060493A" w:rsidRPr="004044D8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67E765CD" w14:textId="77777777" w:rsidR="0060493A" w:rsidRPr="004044D8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4044D8" w14:paraId="53EF7BF5" w14:textId="77777777" w:rsidTr="00215110">
        <w:trPr>
          <w:trHeight w:val="469"/>
        </w:trPr>
        <w:tc>
          <w:tcPr>
            <w:tcW w:w="5231" w:type="dxa"/>
            <w:vAlign w:val="center"/>
          </w:tcPr>
          <w:p w14:paraId="393C6A30" w14:textId="77777777" w:rsidR="00371690" w:rsidRPr="004044D8" w:rsidRDefault="00371690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C29165" w14:textId="77777777" w:rsidR="0060493A" w:rsidRPr="004044D8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4D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50C75B" w14:textId="77777777" w:rsidR="00A85348" w:rsidRPr="004044D8" w:rsidRDefault="004E0B44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4D8">
              <w:rPr>
                <w:rFonts w:cstheme="minorHAnsi"/>
                <w:sz w:val="24"/>
                <w:szCs w:val="24"/>
              </w:rPr>
              <w:t>Secretaria Técnica</w:t>
            </w:r>
          </w:p>
        </w:tc>
        <w:tc>
          <w:tcPr>
            <w:tcW w:w="2245" w:type="dxa"/>
            <w:vAlign w:val="center"/>
          </w:tcPr>
          <w:p w14:paraId="11FCA49C" w14:textId="77777777" w:rsidR="0060493A" w:rsidRPr="004044D8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2443B124" w14:textId="77777777" w:rsidR="0060493A" w:rsidRPr="004044D8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4044D8" w14:paraId="51F4CCAC" w14:textId="77777777" w:rsidTr="004044D8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25734397" w14:textId="77777777" w:rsidR="0060493A" w:rsidRPr="004044D8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4044D8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4044D8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4044D8" w14:paraId="0CB9C160" w14:textId="77777777" w:rsidTr="004044D8">
        <w:tc>
          <w:tcPr>
            <w:tcW w:w="5231" w:type="dxa"/>
            <w:shd w:val="clear" w:color="auto" w:fill="C2D69B" w:themeFill="accent3" w:themeFillTint="99"/>
            <w:vAlign w:val="center"/>
          </w:tcPr>
          <w:p w14:paraId="375CD400" w14:textId="77777777" w:rsidR="0060493A" w:rsidRPr="004044D8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F3DE4F4" w14:textId="77777777" w:rsidR="0060493A" w:rsidRPr="004044D8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0485667F" w14:textId="77777777" w:rsidR="0060493A" w:rsidRPr="004044D8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44D8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4044D8" w14:paraId="556DB796" w14:textId="77777777" w:rsidTr="00215110">
        <w:trPr>
          <w:trHeight w:val="469"/>
        </w:trPr>
        <w:tc>
          <w:tcPr>
            <w:tcW w:w="5231" w:type="dxa"/>
            <w:vAlign w:val="center"/>
          </w:tcPr>
          <w:p w14:paraId="4D3C2BEF" w14:textId="77777777" w:rsidR="00371690" w:rsidRPr="004044D8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6E422C" w14:textId="77777777" w:rsidR="00371690" w:rsidRPr="004044D8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ED5D5C" w14:textId="77777777" w:rsidR="0060493A" w:rsidRPr="004044D8" w:rsidRDefault="008341C7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44D8">
              <w:rPr>
                <w:rFonts w:cstheme="minorHAnsi"/>
                <w:sz w:val="24"/>
                <w:szCs w:val="24"/>
              </w:rPr>
              <w:t>Presidente del CN</w:t>
            </w:r>
            <w:r w:rsidR="004E0B44" w:rsidRPr="004044D8">
              <w:rPr>
                <w:rFonts w:cstheme="minorHAnsi"/>
                <w:sz w:val="24"/>
                <w:szCs w:val="24"/>
              </w:rPr>
              <w:t>BI</w:t>
            </w:r>
          </w:p>
        </w:tc>
        <w:tc>
          <w:tcPr>
            <w:tcW w:w="2245" w:type="dxa"/>
            <w:vAlign w:val="center"/>
          </w:tcPr>
          <w:p w14:paraId="25238849" w14:textId="77777777" w:rsidR="0060493A" w:rsidRPr="004044D8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5F3027A4" w14:textId="77777777" w:rsidR="0060493A" w:rsidRPr="004044D8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D28DCBE" w14:textId="77777777" w:rsidR="00CA4235" w:rsidRPr="004044D8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p w14:paraId="2E94CE8D" w14:textId="77777777" w:rsidR="004044D8" w:rsidRPr="004044D8" w:rsidRDefault="004044D8">
      <w:pPr>
        <w:spacing w:after="0" w:line="240" w:lineRule="auto"/>
        <w:rPr>
          <w:rFonts w:cstheme="minorHAnsi"/>
          <w:sz w:val="24"/>
          <w:szCs w:val="24"/>
        </w:rPr>
      </w:pPr>
    </w:p>
    <w:sectPr w:rsidR="004044D8" w:rsidRPr="004044D8" w:rsidSect="00781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15F2" w14:textId="77777777" w:rsidR="00125AD5" w:rsidRDefault="00125AD5" w:rsidP="00CA4235">
      <w:pPr>
        <w:spacing w:after="0" w:line="240" w:lineRule="auto"/>
      </w:pPr>
      <w:r>
        <w:separator/>
      </w:r>
    </w:p>
  </w:endnote>
  <w:endnote w:type="continuationSeparator" w:id="0">
    <w:p w14:paraId="37083AE1" w14:textId="77777777" w:rsidR="00125AD5" w:rsidRDefault="00125AD5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3024" w14:textId="77777777" w:rsidR="00D53464" w:rsidRDefault="00D534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9DFC" w14:textId="77777777" w:rsidR="00121ED0" w:rsidRPr="001B57AF" w:rsidRDefault="00121ED0" w:rsidP="0060493A">
    <w:pPr>
      <w:pStyle w:val="Piedepgina"/>
      <w:jc w:val="center"/>
      <w:rPr>
        <w:rFonts w:cs="Arial"/>
        <w:i/>
        <w:color w:val="000000" w:themeColor="text1"/>
        <w:sz w:val="16"/>
        <w:szCs w:val="16"/>
      </w:rPr>
    </w:pPr>
    <w:r w:rsidRPr="001B57AF">
      <w:rPr>
        <w:rFonts w:cs="Arial"/>
        <w:i/>
        <w:color w:val="000000" w:themeColor="text1"/>
        <w:sz w:val="16"/>
        <w:szCs w:val="16"/>
      </w:rPr>
      <w:t>Comité Nacional de Bioética de la Investigación de Panamá</w:t>
    </w:r>
  </w:p>
  <w:p w14:paraId="3944AC88" w14:textId="53134AFF" w:rsidR="00121ED0" w:rsidRPr="001B57AF" w:rsidRDefault="00121ED0" w:rsidP="0060493A">
    <w:pPr>
      <w:pStyle w:val="Piedepgina"/>
      <w:jc w:val="center"/>
      <w:rPr>
        <w:rFonts w:cs="Arial"/>
        <w:b/>
        <w:i/>
        <w:color w:val="000000" w:themeColor="text1"/>
        <w:sz w:val="16"/>
        <w:szCs w:val="16"/>
      </w:rPr>
    </w:pPr>
    <w:r w:rsidRPr="001B57AF">
      <w:rPr>
        <w:rFonts w:cs="Arial"/>
        <w:i/>
        <w:color w:val="000000" w:themeColor="text1"/>
        <w:sz w:val="16"/>
        <w:szCs w:val="16"/>
        <w:lang w:val="es-ES"/>
      </w:rPr>
      <w:t xml:space="preserve">Página </w: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begin"/>
    </w:r>
    <w:r w:rsidRPr="001B57AF">
      <w:rPr>
        <w:rFonts w:cs="Arial"/>
        <w:b/>
        <w:i/>
        <w:color w:val="000000" w:themeColor="text1"/>
        <w:sz w:val="16"/>
        <w:szCs w:val="16"/>
      </w:rPr>
      <w:instrText>PAGE  \* Arabic  \* MERGEFORMAT</w:instrTex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separate"/>
    </w:r>
    <w:r w:rsidR="004044D8" w:rsidRPr="004044D8">
      <w:rPr>
        <w:rFonts w:cs="Arial"/>
        <w:b/>
        <w:i/>
        <w:noProof/>
        <w:color w:val="000000" w:themeColor="text1"/>
        <w:sz w:val="16"/>
        <w:szCs w:val="16"/>
        <w:lang w:val="es-ES"/>
      </w:rPr>
      <w:t>1</w: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end"/>
    </w:r>
    <w:r w:rsidRPr="001B57AF">
      <w:rPr>
        <w:rFonts w:cs="Arial"/>
        <w:i/>
        <w:color w:val="000000" w:themeColor="text1"/>
        <w:sz w:val="16"/>
        <w:szCs w:val="16"/>
        <w:lang w:val="es-ES"/>
      </w:rPr>
      <w:t xml:space="preserve"> de </w:t>
    </w:r>
    <w:r w:rsidR="00571B2C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571B2C">
      <w:rPr>
        <w:rFonts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571B2C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4044D8" w:rsidRPr="004044D8">
      <w:rPr>
        <w:rFonts w:cs="Arial"/>
        <w:b/>
        <w:i/>
        <w:noProof/>
        <w:color w:val="000000" w:themeColor="text1"/>
        <w:sz w:val="16"/>
        <w:szCs w:val="16"/>
        <w:lang w:val="es-ES"/>
      </w:rPr>
      <w:t>2</w:t>
    </w:r>
    <w:r w:rsidR="00571B2C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1A9BAB09" w14:textId="77777777" w:rsidR="00121ED0" w:rsidRPr="0060493A" w:rsidRDefault="00121ED0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1004" w14:textId="77777777" w:rsidR="00D53464" w:rsidRDefault="00D534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E80AE" w14:textId="77777777" w:rsidR="00125AD5" w:rsidRDefault="00125AD5" w:rsidP="00CA4235">
      <w:pPr>
        <w:spacing w:after="0" w:line="240" w:lineRule="auto"/>
      </w:pPr>
      <w:r>
        <w:separator/>
      </w:r>
    </w:p>
  </w:footnote>
  <w:footnote w:type="continuationSeparator" w:id="0">
    <w:p w14:paraId="48EE13E1" w14:textId="77777777" w:rsidR="00125AD5" w:rsidRDefault="00125AD5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6236" w14:textId="77777777" w:rsidR="00D53464" w:rsidRDefault="00D534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03"/>
      <w:gridCol w:w="2325"/>
      <w:gridCol w:w="5335"/>
    </w:tblGrid>
    <w:tr w:rsidR="0009243F" w14:paraId="198AE8BE" w14:textId="77777777" w:rsidTr="0036336D">
      <w:trPr>
        <w:trHeight w:val="564"/>
      </w:trPr>
      <w:tc>
        <w:tcPr>
          <w:tcW w:w="49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D5EFE9C" w14:textId="77777777" w:rsidR="0009243F" w:rsidRPr="004044D8" w:rsidRDefault="0009243F" w:rsidP="0009243F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4044D8">
            <w:rPr>
              <w:rFonts w:cstheme="minorHAnsi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 wp14:anchorId="3DCDE1D7" wp14:editId="1E5DD850">
                <wp:extent cx="1365622" cy="6614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BI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5A6FBA" w14:textId="77777777" w:rsidR="0009243F" w:rsidRPr="004044D8" w:rsidRDefault="0009243F" w:rsidP="0009243F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4044D8">
            <w:rPr>
              <w:rFonts w:cstheme="minorHAnsi"/>
              <w:b/>
              <w:sz w:val="24"/>
              <w:szCs w:val="24"/>
            </w:rPr>
            <w:t xml:space="preserve"> </w:t>
          </w:r>
        </w:p>
        <w:p w14:paraId="087D103C" w14:textId="77777777" w:rsidR="0009243F" w:rsidRPr="004044D8" w:rsidRDefault="0009243F" w:rsidP="0009243F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4044D8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4044D8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40E48339" w14:textId="77777777" w:rsidR="0009243F" w:rsidRPr="004044D8" w:rsidRDefault="0009243F" w:rsidP="0009243F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4044D8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09243F" w:rsidRPr="00731C33" w14:paraId="12FAE272" w14:textId="77777777" w:rsidTr="004044D8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010F7BFF" w14:textId="0550A125" w:rsidR="0009243F" w:rsidRPr="00731C33" w:rsidRDefault="0009243F" w:rsidP="0009243F">
          <w:pPr>
            <w:pStyle w:val="Piedepgina"/>
            <w:jc w:val="center"/>
            <w:rPr>
              <w:rFonts w:ascii="Arial" w:hAnsi="Arial" w:cs="Arial"/>
              <w:b/>
              <w:sz w:val="16"/>
            </w:rPr>
          </w:pPr>
          <w:r w:rsidRPr="00731C33">
            <w:rPr>
              <w:rFonts w:cs="Arial"/>
              <w:b/>
            </w:rPr>
            <w:t>Código: PO-006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A14973D" w14:textId="1728200C" w:rsidR="0009243F" w:rsidRPr="00731C33" w:rsidRDefault="0009243F" w:rsidP="0009243F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731C33">
            <w:rPr>
              <w:rFonts w:cstheme="minorHAnsi"/>
              <w:b/>
              <w:sz w:val="24"/>
              <w:szCs w:val="24"/>
            </w:rPr>
            <w:t>Título: Generación y actualización de documentos generales del CNBI</w:t>
          </w:r>
        </w:p>
      </w:tc>
    </w:tr>
    <w:tr w:rsidR="00A4372A" w14:paraId="08859A55" w14:textId="77777777" w:rsidTr="00D53464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4A88D1FF" w14:textId="18B10BBF" w:rsidR="00A4372A" w:rsidRPr="007C4E3C" w:rsidRDefault="00A4372A" w:rsidP="0009243F">
          <w:pPr>
            <w:pStyle w:val="Piedepgina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Versión: 1.</w:t>
          </w:r>
          <w:r w:rsidR="004044D8">
            <w:rPr>
              <w:rFonts w:cs="Arial"/>
              <w:b/>
            </w:rPr>
            <w:t>2</w:t>
          </w:r>
          <w:bookmarkStart w:id="0" w:name="_GoBack"/>
          <w:bookmarkEnd w:id="0"/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ED027E" w14:textId="768F2ACB" w:rsidR="00A4372A" w:rsidRPr="004044D8" w:rsidRDefault="00A4372A" w:rsidP="0009243F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4044D8"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 w:rsidR="00731C33">
            <w:rPr>
              <w:rFonts w:cstheme="minorHAnsi"/>
              <w:sz w:val="24"/>
              <w:szCs w:val="24"/>
            </w:rPr>
            <w:t>D</w:t>
          </w:r>
          <w:r w:rsidR="004044D8">
            <w:rPr>
              <w:rFonts w:cstheme="minorHAnsi"/>
              <w:sz w:val="24"/>
              <w:szCs w:val="24"/>
            </w:rPr>
            <w:t>iciembre</w:t>
          </w:r>
          <w:proofErr w:type="gramEnd"/>
          <w:r w:rsidR="004044D8">
            <w:rPr>
              <w:rFonts w:cstheme="minorHAnsi"/>
              <w:sz w:val="24"/>
              <w:szCs w:val="24"/>
            </w:rPr>
            <w:t xml:space="preserve"> 2017</w:t>
          </w:r>
        </w:p>
      </w:tc>
    </w:tr>
  </w:tbl>
  <w:p w14:paraId="06A9062F" w14:textId="77777777" w:rsidR="0009243F" w:rsidRPr="00733B85" w:rsidRDefault="0009243F" w:rsidP="00781A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1DE0" w14:textId="77777777" w:rsidR="00D53464" w:rsidRDefault="00D534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053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335D"/>
    <w:multiLevelType w:val="hybridMultilevel"/>
    <w:tmpl w:val="70F0073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62CC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5" w15:restartNumberingAfterBreak="0">
    <w:nsid w:val="2A7E6529"/>
    <w:multiLevelType w:val="hybridMultilevel"/>
    <w:tmpl w:val="4E880A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0160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F30C25"/>
    <w:multiLevelType w:val="hybridMultilevel"/>
    <w:tmpl w:val="A89008B4"/>
    <w:lvl w:ilvl="0" w:tplc="25BCF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0EC9"/>
    <w:multiLevelType w:val="hybridMultilevel"/>
    <w:tmpl w:val="B13AB56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C0879"/>
    <w:multiLevelType w:val="multilevel"/>
    <w:tmpl w:val="6218C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sz w:val="20"/>
      </w:rPr>
    </w:lvl>
  </w:abstractNum>
  <w:abstractNum w:abstractNumId="10" w15:restartNumberingAfterBreak="0">
    <w:nsid w:val="4C7F5C77"/>
    <w:multiLevelType w:val="multilevel"/>
    <w:tmpl w:val="07F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  <w:b w:val="0"/>
        <w:i w:val="0"/>
        <w:sz w:val="20"/>
      </w:rPr>
    </w:lvl>
  </w:abstractNum>
  <w:abstractNum w:abstractNumId="11" w15:restartNumberingAfterBreak="0">
    <w:nsid w:val="54493A97"/>
    <w:multiLevelType w:val="multilevel"/>
    <w:tmpl w:val="C19AAA4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80" w:hanging="4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i w:val="0"/>
      </w:rPr>
    </w:lvl>
  </w:abstractNum>
  <w:abstractNum w:abstractNumId="12" w15:restartNumberingAfterBreak="0">
    <w:nsid w:val="5C7C509D"/>
    <w:multiLevelType w:val="multilevel"/>
    <w:tmpl w:val="A9243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13" w15:restartNumberingAfterBreak="0">
    <w:nsid w:val="6C3A2A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0D665D"/>
    <w:multiLevelType w:val="hybridMultilevel"/>
    <w:tmpl w:val="815A00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B6E"/>
    <w:multiLevelType w:val="hybridMultilevel"/>
    <w:tmpl w:val="1F60FF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D06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26EB3"/>
    <w:multiLevelType w:val="hybridMultilevel"/>
    <w:tmpl w:val="2D7C6AA4"/>
    <w:lvl w:ilvl="0" w:tplc="02945D64">
      <w:start w:val="1"/>
      <w:numFmt w:val="low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31F7"/>
    <w:multiLevelType w:val="multilevel"/>
    <w:tmpl w:val="1EF86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5B85969"/>
    <w:multiLevelType w:val="hybridMultilevel"/>
    <w:tmpl w:val="D64E24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C2A64"/>
    <w:multiLevelType w:val="hybridMultilevel"/>
    <w:tmpl w:val="F17CE270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5"/>
  </w:num>
  <w:num w:numId="5">
    <w:abstractNumId w:val="8"/>
  </w:num>
  <w:num w:numId="6">
    <w:abstractNumId w:val="20"/>
  </w:num>
  <w:num w:numId="7">
    <w:abstractNumId w:val="13"/>
  </w:num>
  <w:num w:numId="8">
    <w:abstractNumId w:val="3"/>
  </w:num>
  <w:num w:numId="9">
    <w:abstractNumId w:val="7"/>
  </w:num>
  <w:num w:numId="10">
    <w:abstractNumId w:val="14"/>
  </w:num>
  <w:num w:numId="11">
    <w:abstractNumId w:val="17"/>
  </w:num>
  <w:num w:numId="12">
    <w:abstractNumId w:val="16"/>
  </w:num>
  <w:num w:numId="13">
    <w:abstractNumId w:val="1"/>
  </w:num>
  <w:num w:numId="14">
    <w:abstractNumId w:val="15"/>
  </w:num>
  <w:num w:numId="15">
    <w:abstractNumId w:val="18"/>
  </w:num>
  <w:num w:numId="16">
    <w:abstractNumId w:val="9"/>
  </w:num>
  <w:num w:numId="17">
    <w:abstractNumId w:val="10"/>
  </w:num>
  <w:num w:numId="18">
    <w:abstractNumId w:val="12"/>
  </w:num>
  <w:num w:numId="19">
    <w:abstractNumId w:val="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2699E"/>
    <w:rsid w:val="000848E8"/>
    <w:rsid w:val="0009243F"/>
    <w:rsid w:val="000D10DC"/>
    <w:rsid w:val="000E1A88"/>
    <w:rsid w:val="000E7608"/>
    <w:rsid w:val="00121ED0"/>
    <w:rsid w:val="00125AD5"/>
    <w:rsid w:val="001335DF"/>
    <w:rsid w:val="00135ACE"/>
    <w:rsid w:val="001546EB"/>
    <w:rsid w:val="001773C1"/>
    <w:rsid w:val="00185E77"/>
    <w:rsid w:val="0019750B"/>
    <w:rsid w:val="001A1F3B"/>
    <w:rsid w:val="001B00A7"/>
    <w:rsid w:val="001B57AF"/>
    <w:rsid w:val="001B7362"/>
    <w:rsid w:val="001C1173"/>
    <w:rsid w:val="001E4998"/>
    <w:rsid w:val="001F65FC"/>
    <w:rsid w:val="00215110"/>
    <w:rsid w:val="002425F0"/>
    <w:rsid w:val="002A2AC2"/>
    <w:rsid w:val="002D0A75"/>
    <w:rsid w:val="002E2A99"/>
    <w:rsid w:val="00305203"/>
    <w:rsid w:val="00350EC3"/>
    <w:rsid w:val="00371690"/>
    <w:rsid w:val="003B2AC9"/>
    <w:rsid w:val="003D307F"/>
    <w:rsid w:val="003D352A"/>
    <w:rsid w:val="003F5189"/>
    <w:rsid w:val="004044D8"/>
    <w:rsid w:val="00471446"/>
    <w:rsid w:val="00493526"/>
    <w:rsid w:val="004D2476"/>
    <w:rsid w:val="004E0B44"/>
    <w:rsid w:val="005423B6"/>
    <w:rsid w:val="00566CF5"/>
    <w:rsid w:val="00571B2C"/>
    <w:rsid w:val="005F2A9D"/>
    <w:rsid w:val="0060493A"/>
    <w:rsid w:val="0067748A"/>
    <w:rsid w:val="00684079"/>
    <w:rsid w:val="006C28A5"/>
    <w:rsid w:val="006E0C62"/>
    <w:rsid w:val="00731C33"/>
    <w:rsid w:val="00733B85"/>
    <w:rsid w:val="00745056"/>
    <w:rsid w:val="00770571"/>
    <w:rsid w:val="00781A7C"/>
    <w:rsid w:val="007C4242"/>
    <w:rsid w:val="007C4E3C"/>
    <w:rsid w:val="007D04B4"/>
    <w:rsid w:val="007D1869"/>
    <w:rsid w:val="007F587D"/>
    <w:rsid w:val="008341C7"/>
    <w:rsid w:val="008359AF"/>
    <w:rsid w:val="00841BE7"/>
    <w:rsid w:val="0086472A"/>
    <w:rsid w:val="00893667"/>
    <w:rsid w:val="0089761D"/>
    <w:rsid w:val="008A2FDD"/>
    <w:rsid w:val="008B48C4"/>
    <w:rsid w:val="008C7502"/>
    <w:rsid w:val="008E0BE5"/>
    <w:rsid w:val="00900318"/>
    <w:rsid w:val="00A15235"/>
    <w:rsid w:val="00A32302"/>
    <w:rsid w:val="00A4372A"/>
    <w:rsid w:val="00A471ED"/>
    <w:rsid w:val="00A50603"/>
    <w:rsid w:val="00A55177"/>
    <w:rsid w:val="00A85348"/>
    <w:rsid w:val="00AE7DB0"/>
    <w:rsid w:val="00B100BA"/>
    <w:rsid w:val="00B5182B"/>
    <w:rsid w:val="00BE6E67"/>
    <w:rsid w:val="00C15BD9"/>
    <w:rsid w:val="00C759C3"/>
    <w:rsid w:val="00CA4235"/>
    <w:rsid w:val="00D263A3"/>
    <w:rsid w:val="00D53464"/>
    <w:rsid w:val="00DA2677"/>
    <w:rsid w:val="00E179DF"/>
    <w:rsid w:val="00E53B51"/>
    <w:rsid w:val="00E959C5"/>
    <w:rsid w:val="00EA2A08"/>
    <w:rsid w:val="00EC2A4E"/>
    <w:rsid w:val="00EC6A38"/>
    <w:rsid w:val="00EC7E26"/>
    <w:rsid w:val="00ED322E"/>
    <w:rsid w:val="00EF1BF8"/>
    <w:rsid w:val="00F364D9"/>
    <w:rsid w:val="00F37C5E"/>
    <w:rsid w:val="00F52203"/>
    <w:rsid w:val="00F55FA2"/>
    <w:rsid w:val="00F64B2A"/>
    <w:rsid w:val="00F70234"/>
    <w:rsid w:val="00F878D5"/>
    <w:rsid w:val="00FA1BB3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B62E1D"/>
  <w15:docId w15:val="{4EAA8AA4-5532-49C7-8E5A-3ABE321D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10</cp:revision>
  <cp:lastPrinted>2013-07-11T13:59:00Z</cp:lastPrinted>
  <dcterms:created xsi:type="dcterms:W3CDTF">2015-04-01T16:35:00Z</dcterms:created>
  <dcterms:modified xsi:type="dcterms:W3CDTF">2019-01-07T16:39:00Z</dcterms:modified>
</cp:coreProperties>
</file>