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EB7BC7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dotted" w:sz="4" w:space="0" w:color="auto"/>
            </w:tcBorders>
          </w:tcPr>
          <w:p w:rsidR="00471446" w:rsidRPr="00BE06A0" w:rsidRDefault="00AB0A56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Orientar el proceso para evaluar la competencia d</w:t>
            </w:r>
            <w:r w:rsidR="006B6702">
              <w:rPr>
                <w:rFonts w:cstheme="minorHAnsi"/>
                <w:i/>
                <w:sz w:val="24"/>
                <w:szCs w:val="24"/>
              </w:rPr>
              <w:t>el Investigador Principal y de los Sub-Investigadores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:rsidTr="00DF764A">
        <w:tc>
          <w:tcPr>
            <w:tcW w:w="8978" w:type="dxa"/>
            <w:tcBorders>
              <w:top w:val="nil"/>
            </w:tcBorders>
          </w:tcPr>
          <w:p w:rsidR="00471446" w:rsidRPr="00BE06A0" w:rsidRDefault="006B6702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Los Investigadores que presenten Estudios clínicos y de investigación ante el CNBI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BE06A0" w:rsidTr="00471446">
        <w:tc>
          <w:tcPr>
            <w:tcW w:w="1951" w:type="dxa"/>
          </w:tcPr>
          <w:p w:rsidR="00471446" w:rsidRPr="00BE06A0" w:rsidRDefault="006B6702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Investigador</w:t>
            </w:r>
          </w:p>
        </w:tc>
        <w:tc>
          <w:tcPr>
            <w:tcW w:w="7027" w:type="dxa"/>
          </w:tcPr>
          <w:p w:rsidR="00471446" w:rsidRPr="00BE06A0" w:rsidRDefault="00CE363D" w:rsidP="00CE36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E363D">
              <w:rPr>
                <w:rFonts w:cstheme="minorHAnsi"/>
                <w:sz w:val="24"/>
                <w:szCs w:val="24"/>
              </w:rPr>
              <w:t>ersona responsable de la conducción de un estudio clínico en el sitio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donde se realiza el estudio. Si un estudio es conducido por un grupo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individuos, el investigador es el líder responsable del grupo y se le llamará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investigador principal</w:t>
            </w:r>
          </w:p>
        </w:tc>
      </w:tr>
      <w:tr w:rsidR="00471446" w:rsidRPr="00BE06A0" w:rsidTr="00471446">
        <w:tc>
          <w:tcPr>
            <w:tcW w:w="1951" w:type="dxa"/>
          </w:tcPr>
          <w:p w:rsidR="00471446" w:rsidRPr="006B6702" w:rsidRDefault="006B6702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6B6702">
              <w:rPr>
                <w:rFonts w:cstheme="minorHAnsi"/>
                <w:i/>
                <w:sz w:val="24"/>
                <w:szCs w:val="24"/>
              </w:rPr>
              <w:t>Subinvestigador</w:t>
            </w:r>
          </w:p>
        </w:tc>
        <w:tc>
          <w:tcPr>
            <w:tcW w:w="7027" w:type="dxa"/>
          </w:tcPr>
          <w:p w:rsidR="00CE363D" w:rsidRPr="00CE363D" w:rsidRDefault="00CE363D" w:rsidP="00CE363D">
            <w:pPr>
              <w:rPr>
                <w:rFonts w:cstheme="minorHAnsi"/>
                <w:sz w:val="24"/>
                <w:szCs w:val="24"/>
              </w:rPr>
            </w:pPr>
            <w:r w:rsidRPr="00CE363D">
              <w:rPr>
                <w:rFonts w:cstheme="minorHAnsi"/>
                <w:sz w:val="24"/>
                <w:szCs w:val="24"/>
              </w:rPr>
              <w:t>Cualquier miembro individual del grupo del estudio designado y</w:t>
            </w:r>
          </w:p>
          <w:p w:rsidR="00471446" w:rsidRPr="00BE06A0" w:rsidRDefault="00CE363D" w:rsidP="00CE363D">
            <w:pPr>
              <w:rPr>
                <w:rFonts w:cstheme="minorHAnsi"/>
                <w:sz w:val="24"/>
                <w:szCs w:val="24"/>
              </w:rPr>
            </w:pPr>
            <w:r w:rsidRPr="00CE363D">
              <w:rPr>
                <w:rFonts w:cstheme="minorHAnsi"/>
                <w:sz w:val="24"/>
                <w:szCs w:val="24"/>
              </w:rPr>
              <w:t>supervisado por el investigador en un sitio donde se lleva a cabo el estudio 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realizar procedimientos críticos relacionados con el estudio y tomar decisiones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importantes relacionadas con este (por ejemplo, asociados, residentes, becario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363D">
              <w:rPr>
                <w:rFonts w:cstheme="minorHAnsi"/>
                <w:sz w:val="24"/>
                <w:szCs w:val="24"/>
              </w:rPr>
              <w:t>de investigación</w:t>
            </w:r>
            <w:proofErr w:type="gramStart"/>
            <w:r w:rsidRPr="00CE363D">
              <w:rPr>
                <w:rFonts w:cstheme="minorHAnsi"/>
                <w:sz w:val="24"/>
                <w:szCs w:val="24"/>
              </w:rPr>
              <w:t>).</w:t>
            </w:r>
            <w:r w:rsidR="006B6702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5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:rsidTr="005914CE">
        <w:tc>
          <w:tcPr>
            <w:tcW w:w="1951" w:type="dxa"/>
          </w:tcPr>
          <w:p w:rsidR="00471446" w:rsidRPr="005914CE" w:rsidRDefault="006B6702" w:rsidP="005914CE">
            <w:pPr>
              <w:rPr>
                <w:rFonts w:cstheme="minorHAnsi"/>
                <w:i/>
                <w:sz w:val="24"/>
                <w:szCs w:val="24"/>
              </w:rPr>
            </w:pPr>
            <w:r w:rsidRPr="005914CE">
              <w:rPr>
                <w:rFonts w:cstheme="minorHAnsi"/>
                <w:i/>
                <w:sz w:val="24"/>
                <w:szCs w:val="24"/>
              </w:rPr>
              <w:t>Presidente del CNBI</w:t>
            </w:r>
          </w:p>
        </w:tc>
        <w:tc>
          <w:tcPr>
            <w:tcW w:w="7027" w:type="dxa"/>
          </w:tcPr>
          <w:p w:rsidR="00471446" w:rsidRPr="005914CE" w:rsidRDefault="006B6702" w:rsidP="005914CE">
            <w:pPr>
              <w:rPr>
                <w:rFonts w:cstheme="minorHAnsi"/>
                <w:sz w:val="24"/>
                <w:szCs w:val="24"/>
              </w:rPr>
            </w:pPr>
            <w:r w:rsidRPr="005914CE">
              <w:rPr>
                <w:rFonts w:cstheme="minorHAnsi"/>
                <w:sz w:val="24"/>
                <w:szCs w:val="24"/>
              </w:rPr>
              <w:t xml:space="preserve">Revisar toda solicitud de evaluar investigadores. Designar </w:t>
            </w:r>
            <w:r w:rsidR="005914CE">
              <w:rPr>
                <w:rFonts w:cstheme="minorHAnsi"/>
                <w:sz w:val="24"/>
                <w:szCs w:val="24"/>
              </w:rPr>
              <w:t>tres</w:t>
            </w:r>
            <w:r w:rsidRPr="005914CE">
              <w:rPr>
                <w:rFonts w:cstheme="minorHAnsi"/>
                <w:sz w:val="24"/>
                <w:szCs w:val="24"/>
              </w:rPr>
              <w:t xml:space="preserve"> miembros del CNBI para que participen en la revisión de la solicitud</w:t>
            </w:r>
          </w:p>
        </w:tc>
      </w:tr>
      <w:tr w:rsidR="00471446" w:rsidRPr="00BE06A0" w:rsidTr="005914CE">
        <w:tc>
          <w:tcPr>
            <w:tcW w:w="1951" w:type="dxa"/>
          </w:tcPr>
          <w:p w:rsidR="00471446" w:rsidRPr="005914CE" w:rsidRDefault="006B6702" w:rsidP="005914CE">
            <w:pPr>
              <w:rPr>
                <w:rFonts w:cstheme="minorHAnsi"/>
                <w:i/>
                <w:sz w:val="24"/>
                <w:szCs w:val="24"/>
              </w:rPr>
            </w:pPr>
            <w:r w:rsidRPr="005914CE">
              <w:rPr>
                <w:rFonts w:cstheme="minorHAnsi"/>
                <w:i/>
                <w:sz w:val="24"/>
                <w:szCs w:val="24"/>
              </w:rPr>
              <w:t>Miembros del CNBI designados</w:t>
            </w:r>
          </w:p>
        </w:tc>
        <w:tc>
          <w:tcPr>
            <w:tcW w:w="7027" w:type="dxa"/>
          </w:tcPr>
          <w:p w:rsidR="00471446" w:rsidRPr="005914CE" w:rsidRDefault="006B6702" w:rsidP="005914CE">
            <w:pPr>
              <w:rPr>
                <w:rFonts w:cstheme="minorHAnsi"/>
                <w:sz w:val="24"/>
                <w:szCs w:val="24"/>
              </w:rPr>
            </w:pPr>
            <w:r w:rsidRPr="005914CE">
              <w:rPr>
                <w:rFonts w:cstheme="minorHAnsi"/>
                <w:sz w:val="24"/>
                <w:szCs w:val="24"/>
              </w:rPr>
              <w:t>Seguir el presente procedimiento para la revisión de los investigadores y presentación de su dictamen ante el CNBI</w:t>
            </w:r>
          </w:p>
        </w:tc>
      </w:tr>
      <w:tr w:rsidR="006B6702" w:rsidRPr="00BE06A0" w:rsidTr="005914CE">
        <w:tc>
          <w:tcPr>
            <w:tcW w:w="1951" w:type="dxa"/>
          </w:tcPr>
          <w:p w:rsidR="006B6702" w:rsidRPr="005914CE" w:rsidRDefault="006B6702" w:rsidP="005914CE">
            <w:pPr>
              <w:rPr>
                <w:rFonts w:cstheme="minorHAnsi"/>
                <w:i/>
                <w:sz w:val="24"/>
                <w:szCs w:val="24"/>
              </w:rPr>
            </w:pPr>
            <w:r w:rsidRPr="005914CE"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:rsidR="006B6702" w:rsidRPr="005914CE" w:rsidRDefault="006B6702" w:rsidP="005914CE">
            <w:pPr>
              <w:rPr>
                <w:rFonts w:cstheme="minorHAnsi"/>
                <w:sz w:val="24"/>
                <w:szCs w:val="24"/>
              </w:rPr>
            </w:pPr>
            <w:r w:rsidRPr="005914CE">
              <w:rPr>
                <w:rFonts w:cstheme="minorHAnsi"/>
                <w:sz w:val="24"/>
                <w:szCs w:val="24"/>
              </w:rPr>
              <w:t xml:space="preserve">Responsable de mantener una lista rotativa de </w:t>
            </w:r>
            <w:r w:rsidR="005914CE" w:rsidRPr="005914CE">
              <w:rPr>
                <w:rFonts w:cstheme="minorHAnsi"/>
                <w:sz w:val="24"/>
                <w:szCs w:val="24"/>
              </w:rPr>
              <w:t xml:space="preserve">revisores. 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BE06A0" w:rsidTr="00471446">
        <w:tc>
          <w:tcPr>
            <w:tcW w:w="8978" w:type="dxa"/>
          </w:tcPr>
          <w:p w:rsidR="00471446" w:rsidRPr="00BE06A0" w:rsidRDefault="005914CE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Evaluación inicial de investigadores</w:t>
            </w:r>
          </w:p>
          <w:p w:rsidR="00684079" w:rsidRPr="00BE06A0" w:rsidRDefault="00684079" w:rsidP="00F364D9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</w:p>
          <w:p w:rsidR="0060493A" w:rsidRDefault="005914CE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Un investigador es evaluado en el momento de presentación de un estudio al CNBI o en caso de que se solicite el cambio de investigador principal o subinvestigadores.</w:t>
            </w:r>
          </w:p>
          <w:p w:rsidR="005914CE" w:rsidRDefault="005914CE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La Secretaría Técnica recibirá del solicitante el CV actualizado de los investigadores y las acreditaciones e idoneidades requeridas para desarrollar el estudio. </w:t>
            </w:r>
          </w:p>
          <w:p w:rsidR="005914CE" w:rsidRDefault="005914CE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La Secretaría Técnica revisará la solicitud y documentación adjunta-</w:t>
            </w:r>
          </w:p>
          <w:p w:rsidR="005914CE" w:rsidRDefault="005914CE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La solicitud es revisada por tres miembros del CNBI. En caso de un nuevo estudio o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>sus enmiendas los revisores serán aquellos a los que se les asigne el Estudio.</w:t>
            </w:r>
          </w:p>
          <w:p w:rsidR="005914CE" w:rsidRDefault="005914CE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 caso de cambio del Investigador Principal o subinvestigadores el proceso de evaluación se registrar</w:t>
            </w:r>
            <w:r w:rsidR="007A47CC">
              <w:rPr>
                <w:rFonts w:cstheme="minorHAnsi"/>
                <w:i/>
                <w:sz w:val="24"/>
                <w:szCs w:val="24"/>
              </w:rPr>
              <w:t xml:space="preserve"> en el PT-017 Solicitud y evaluación de investigadores.</w:t>
            </w:r>
          </w:p>
          <w:p w:rsidR="00684079" w:rsidRPr="007A47CC" w:rsidRDefault="007A47CC" w:rsidP="007A47C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El Comité podrá solicitar a los investigadores la actualización de la información para su reevaluación para lo que se utilizará la PT-017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5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:rsidTr="005914CE">
        <w:tc>
          <w:tcPr>
            <w:tcW w:w="8978" w:type="dxa"/>
          </w:tcPr>
          <w:p w:rsidR="00471446" w:rsidRPr="00BE06A0" w:rsidRDefault="007A47CC" w:rsidP="005914C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PT-017 Solicitud y evaluación de investigadores.</w:t>
            </w:r>
          </w:p>
        </w:tc>
      </w:tr>
    </w:tbl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A47CC" w:rsidRPr="007A47CC" w:rsidTr="008176CB">
        <w:tc>
          <w:tcPr>
            <w:tcW w:w="10349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7A47CC" w:rsidRPr="007A47CC" w:rsidTr="008176CB">
        <w:tc>
          <w:tcPr>
            <w:tcW w:w="2987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7A47CC" w:rsidRPr="007A47CC" w:rsidTr="008176CB">
        <w:tc>
          <w:tcPr>
            <w:tcW w:w="2987" w:type="dxa"/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Enero 2018</w:t>
            </w:r>
          </w:p>
        </w:tc>
        <w:tc>
          <w:tcPr>
            <w:tcW w:w="2244" w:type="dxa"/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>v. 1.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>Junio 2015</w:t>
            </w:r>
          </w:p>
        </w:tc>
        <w:tc>
          <w:tcPr>
            <w:tcW w:w="2245" w:type="dxa"/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>Cambios de estilo</w:t>
            </w:r>
          </w:p>
        </w:tc>
        <w:tc>
          <w:tcPr>
            <w:tcW w:w="2873" w:type="dxa"/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 xml:space="preserve">Actualización de todos los </w:t>
            </w:r>
            <w:proofErr w:type="spellStart"/>
            <w:r w:rsidRPr="007A47CC">
              <w:rPr>
                <w:rFonts w:cstheme="minorHAnsi"/>
                <w:sz w:val="24"/>
                <w:szCs w:val="24"/>
              </w:rPr>
              <w:t>POs</w:t>
            </w:r>
            <w:proofErr w:type="spellEnd"/>
          </w:p>
        </w:tc>
      </w:tr>
    </w:tbl>
    <w:p w:rsidR="007A47CC" w:rsidRPr="007A47CC" w:rsidRDefault="007A47CC" w:rsidP="007A47CC">
      <w:pPr>
        <w:spacing w:after="0" w:line="240" w:lineRule="auto"/>
        <w:rPr>
          <w:rFonts w:cstheme="minorHAnsi"/>
          <w:sz w:val="24"/>
          <w:szCs w:val="24"/>
        </w:rPr>
      </w:pPr>
    </w:p>
    <w:p w:rsidR="007A47CC" w:rsidRPr="007A47CC" w:rsidRDefault="007A47CC" w:rsidP="007A47CC">
      <w:pPr>
        <w:spacing w:after="0" w:line="240" w:lineRule="auto"/>
        <w:rPr>
          <w:rFonts w:cstheme="minorHAnsi"/>
          <w:sz w:val="24"/>
          <w:szCs w:val="24"/>
        </w:rPr>
      </w:pPr>
    </w:p>
    <w:p w:rsidR="007A47CC" w:rsidRPr="007A47CC" w:rsidRDefault="007A47CC" w:rsidP="007A47C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408"/>
        <w:gridCol w:w="4395"/>
      </w:tblGrid>
      <w:tr w:rsidR="007A47CC" w:rsidRPr="007A47CC" w:rsidTr="008176C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7A47CC" w:rsidRPr="007A47CC" w:rsidTr="007A47CC">
        <w:tc>
          <w:tcPr>
            <w:tcW w:w="3546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408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7A47CC" w:rsidRPr="007A47CC" w:rsidTr="007A47CC">
        <w:trPr>
          <w:trHeight w:val="469"/>
        </w:trPr>
        <w:tc>
          <w:tcPr>
            <w:tcW w:w="3546" w:type="dxa"/>
            <w:tcBorders>
              <w:bottom w:val="dotted" w:sz="4" w:space="0" w:color="auto"/>
            </w:tcBorders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</w:p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>Secretar</w:t>
            </w:r>
            <w:r>
              <w:rPr>
                <w:rFonts w:cstheme="minorHAnsi"/>
                <w:sz w:val="24"/>
                <w:szCs w:val="24"/>
              </w:rPr>
              <w:t>ía</w:t>
            </w:r>
            <w:r w:rsidRPr="007A47CC">
              <w:rPr>
                <w:rFonts w:cstheme="minorHAnsi"/>
                <w:sz w:val="24"/>
                <w:szCs w:val="24"/>
              </w:rPr>
              <w:t xml:space="preserve"> Técnica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7CC" w:rsidRPr="007A47CC" w:rsidTr="008176C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Revisado y Aprobado por</w:t>
            </w:r>
          </w:p>
        </w:tc>
      </w:tr>
      <w:tr w:rsidR="007A47CC" w:rsidRPr="007A47CC" w:rsidTr="007A47CC">
        <w:tc>
          <w:tcPr>
            <w:tcW w:w="3546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408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7A47CC" w:rsidRPr="007A47CC" w:rsidRDefault="007A47CC" w:rsidP="007A47CC">
            <w:pPr>
              <w:rPr>
                <w:rFonts w:cstheme="minorHAnsi"/>
                <w:b/>
                <w:sz w:val="24"/>
                <w:szCs w:val="24"/>
              </w:rPr>
            </w:pPr>
            <w:r w:rsidRPr="007A47CC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7A47CC" w:rsidRPr="007A47CC" w:rsidTr="008176CB">
        <w:trPr>
          <w:trHeight w:val="469"/>
        </w:trPr>
        <w:tc>
          <w:tcPr>
            <w:tcW w:w="10349" w:type="dxa"/>
            <w:gridSpan w:val="3"/>
            <w:vAlign w:val="center"/>
          </w:tcPr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</w:p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</w:p>
          <w:p w:rsidR="007A47CC" w:rsidRPr="007A47CC" w:rsidRDefault="007A47CC" w:rsidP="007A47CC">
            <w:pPr>
              <w:rPr>
                <w:rFonts w:cstheme="minorHAnsi"/>
                <w:sz w:val="24"/>
                <w:szCs w:val="24"/>
              </w:rPr>
            </w:pPr>
            <w:r w:rsidRPr="007A47CC">
              <w:rPr>
                <w:rFonts w:cstheme="minorHAnsi"/>
                <w:sz w:val="24"/>
                <w:szCs w:val="24"/>
              </w:rPr>
              <w:t>Presidente del CNBI</w:t>
            </w:r>
          </w:p>
        </w:tc>
      </w:tr>
    </w:tbl>
    <w:p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40" w:rsidRDefault="00E05D40" w:rsidP="00CA4235">
      <w:pPr>
        <w:spacing w:after="0" w:line="240" w:lineRule="auto"/>
      </w:pPr>
      <w:r>
        <w:separator/>
      </w:r>
    </w:p>
  </w:endnote>
  <w:endnote w:type="continuationSeparator" w:id="0">
    <w:p w:rsidR="00E05D40" w:rsidRDefault="00E05D40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CE" w:rsidRPr="0060493A" w:rsidRDefault="005914CE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:rsidR="005914CE" w:rsidRDefault="005914CE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CE363D" w:rsidRPr="00CE363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fldSimple w:instr="NUMPAGES  \* Arabic  \* MERGEFORMAT">
      <w:r w:rsidR="00CE363D" w:rsidRPr="00CE363D">
        <w:rPr>
          <w:rFonts w:ascii="Arial" w:hAnsi="Arial" w:cs="Arial"/>
          <w:b/>
          <w:i/>
          <w:noProof/>
          <w:color w:val="000000" w:themeColor="text1"/>
          <w:sz w:val="16"/>
          <w:szCs w:val="16"/>
          <w:lang w:val="es-ES"/>
        </w:rPr>
        <w:t>2</w:t>
      </w:r>
    </w:fldSimple>
  </w:p>
  <w:p w:rsidR="005914CE" w:rsidRPr="0060493A" w:rsidRDefault="005914CE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40" w:rsidRDefault="00E05D40" w:rsidP="00CA4235">
      <w:pPr>
        <w:spacing w:after="0" w:line="240" w:lineRule="auto"/>
      </w:pPr>
      <w:r>
        <w:separator/>
      </w:r>
    </w:p>
  </w:footnote>
  <w:footnote w:type="continuationSeparator" w:id="0">
    <w:p w:rsidR="00E05D40" w:rsidRDefault="00E05D40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4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06"/>
      <w:gridCol w:w="1641"/>
      <w:gridCol w:w="6463"/>
    </w:tblGrid>
    <w:tr w:rsidR="005914CE" w:rsidTr="00843844">
      <w:trPr>
        <w:trHeight w:val="437"/>
      </w:trPr>
      <w:tc>
        <w:tcPr>
          <w:tcW w:w="334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5914CE" w:rsidRDefault="005914CE" w:rsidP="0084384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30C75B79" wp14:editId="6B0D0819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4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14CE" w:rsidRDefault="005914CE" w:rsidP="0084384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5914CE" w:rsidRPr="00BE06A0" w:rsidRDefault="005914CE" w:rsidP="0084384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5914CE" w:rsidRDefault="005914CE" w:rsidP="0084384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5914CE" w:rsidRPr="00601E75" w:rsidTr="00EB7BC7">
      <w:trPr>
        <w:trHeight w:val="294"/>
      </w:trPr>
      <w:tc>
        <w:tcPr>
          <w:tcW w:w="170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5914CE" w:rsidRPr="00601E75" w:rsidRDefault="005914CE" w:rsidP="00843844">
          <w:pPr>
            <w:pStyle w:val="Piedepgina"/>
            <w:jc w:val="center"/>
            <w:rPr>
              <w:rFonts w:cstheme="minorHAnsi"/>
              <w:b/>
            </w:rPr>
          </w:pPr>
          <w:r w:rsidRPr="00601E75">
            <w:rPr>
              <w:rFonts w:cstheme="minorHAnsi"/>
              <w:b/>
            </w:rPr>
            <w:t>Código: PO-009</w:t>
          </w:r>
        </w:p>
        <w:p w:rsidR="005914CE" w:rsidRPr="00601E75" w:rsidRDefault="005914CE" w:rsidP="0084384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810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5914CE" w:rsidRPr="00601E75" w:rsidRDefault="005914CE" w:rsidP="00843844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601E75">
            <w:rPr>
              <w:rFonts w:cstheme="minorHAnsi"/>
              <w:b/>
              <w:sz w:val="24"/>
              <w:szCs w:val="24"/>
            </w:rPr>
            <w:t>Título: Evaluación de Investigadores</w:t>
          </w:r>
        </w:p>
      </w:tc>
    </w:tr>
    <w:tr w:rsidR="005914CE" w:rsidTr="00601E75">
      <w:trPr>
        <w:trHeight w:val="294"/>
      </w:trPr>
      <w:tc>
        <w:tcPr>
          <w:tcW w:w="170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5914CE" w:rsidRPr="00BE06A0" w:rsidRDefault="005914CE" w:rsidP="00843844">
          <w:pPr>
            <w:pStyle w:val="Piedepgina"/>
            <w:jc w:val="center"/>
            <w:rPr>
              <w:rFonts w:cstheme="minorHAnsi"/>
              <w:b/>
            </w:rPr>
          </w:pPr>
          <w:r w:rsidRPr="00AB0A56">
            <w:rPr>
              <w:rFonts w:cstheme="minorHAnsi"/>
              <w:b/>
            </w:rPr>
            <w:t>Versión</w:t>
          </w:r>
          <w:r w:rsidR="00601E75">
            <w:rPr>
              <w:rFonts w:cstheme="minorHAnsi"/>
              <w:b/>
            </w:rPr>
            <w:t>:</w:t>
          </w:r>
          <w:r w:rsidRPr="00AB0A56">
            <w:rPr>
              <w:rFonts w:cstheme="minorHAnsi"/>
              <w:b/>
            </w:rPr>
            <w:t xml:space="preserve"> 1.1</w:t>
          </w:r>
        </w:p>
      </w:tc>
      <w:tc>
        <w:tcPr>
          <w:tcW w:w="810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14CE" w:rsidRPr="00BE06A0" w:rsidRDefault="00601E75" w:rsidP="0084384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5914CE">
            <w:rPr>
              <w:rFonts w:cstheme="minorHAnsi"/>
              <w:sz w:val="24"/>
              <w:szCs w:val="24"/>
            </w:rPr>
            <w:t>Enero</w:t>
          </w:r>
          <w:proofErr w:type="gramEnd"/>
          <w:r w:rsidR="005914CE">
            <w:rPr>
              <w:rFonts w:cstheme="minorHAnsi"/>
              <w:sz w:val="24"/>
              <w:szCs w:val="24"/>
            </w:rPr>
            <w:t xml:space="preserve"> 2018</w:t>
          </w:r>
        </w:p>
      </w:tc>
    </w:tr>
  </w:tbl>
  <w:p w:rsidR="005914CE" w:rsidRDefault="005914CE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D10DC"/>
    <w:rsid w:val="000E341F"/>
    <w:rsid w:val="000E7608"/>
    <w:rsid w:val="001335DF"/>
    <w:rsid w:val="001546EB"/>
    <w:rsid w:val="001B7362"/>
    <w:rsid w:val="001F65FC"/>
    <w:rsid w:val="002A2AC2"/>
    <w:rsid w:val="00371690"/>
    <w:rsid w:val="00471446"/>
    <w:rsid w:val="00493526"/>
    <w:rsid w:val="004D2476"/>
    <w:rsid w:val="005914CE"/>
    <w:rsid w:val="005F2A9D"/>
    <w:rsid w:val="00601E75"/>
    <w:rsid w:val="0060493A"/>
    <w:rsid w:val="00684079"/>
    <w:rsid w:val="006B6702"/>
    <w:rsid w:val="006C09D0"/>
    <w:rsid w:val="00770571"/>
    <w:rsid w:val="00781A7C"/>
    <w:rsid w:val="007A47CC"/>
    <w:rsid w:val="007F587D"/>
    <w:rsid w:val="008341C7"/>
    <w:rsid w:val="008359AF"/>
    <w:rsid w:val="00843844"/>
    <w:rsid w:val="00893667"/>
    <w:rsid w:val="008A1A8A"/>
    <w:rsid w:val="008A2FDD"/>
    <w:rsid w:val="008E0BE5"/>
    <w:rsid w:val="00963317"/>
    <w:rsid w:val="00A15235"/>
    <w:rsid w:val="00A32302"/>
    <w:rsid w:val="00A471ED"/>
    <w:rsid w:val="00A50603"/>
    <w:rsid w:val="00A85348"/>
    <w:rsid w:val="00AB0A56"/>
    <w:rsid w:val="00B65FAE"/>
    <w:rsid w:val="00BE06A0"/>
    <w:rsid w:val="00C759C3"/>
    <w:rsid w:val="00CA4235"/>
    <w:rsid w:val="00CE363D"/>
    <w:rsid w:val="00D263A3"/>
    <w:rsid w:val="00DA736A"/>
    <w:rsid w:val="00DF764A"/>
    <w:rsid w:val="00E05D40"/>
    <w:rsid w:val="00E179DF"/>
    <w:rsid w:val="00E53B51"/>
    <w:rsid w:val="00EB7BC7"/>
    <w:rsid w:val="00EF1BF8"/>
    <w:rsid w:val="00F21D06"/>
    <w:rsid w:val="00F364D9"/>
    <w:rsid w:val="00F47E05"/>
    <w:rsid w:val="00F52203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D644B1"/>
  <w15:docId w15:val="{369E24A1-FCA9-4723-8F66-CED3A12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6</cp:revision>
  <cp:lastPrinted>2013-07-11T13:59:00Z</cp:lastPrinted>
  <dcterms:created xsi:type="dcterms:W3CDTF">2018-01-15T17:43:00Z</dcterms:created>
  <dcterms:modified xsi:type="dcterms:W3CDTF">2018-12-28T14:13:00Z</dcterms:modified>
</cp:coreProperties>
</file>