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71446" w:rsidRPr="00DA1ED2" w:rsidTr="00DA1ED2">
        <w:tc>
          <w:tcPr>
            <w:tcW w:w="8978" w:type="dxa"/>
            <w:shd w:val="clear" w:color="auto" w:fill="C2D69B" w:themeFill="accent3" w:themeFillTint="99"/>
          </w:tcPr>
          <w:p w:rsidR="00471446" w:rsidRPr="00DA1ED2" w:rsidRDefault="00471446" w:rsidP="00DA1ED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1ED2">
              <w:rPr>
                <w:rFonts w:cstheme="minorHAnsi"/>
                <w:b/>
                <w:sz w:val="24"/>
                <w:szCs w:val="24"/>
              </w:rPr>
              <w:t>Objetivo</w:t>
            </w:r>
          </w:p>
        </w:tc>
      </w:tr>
      <w:tr w:rsidR="00471446" w:rsidRPr="00325545" w:rsidTr="00471446">
        <w:tc>
          <w:tcPr>
            <w:tcW w:w="8978" w:type="dxa"/>
            <w:tcBorders>
              <w:bottom w:val="dotted" w:sz="4" w:space="0" w:color="auto"/>
            </w:tcBorders>
          </w:tcPr>
          <w:p w:rsidR="00471446" w:rsidRPr="00325545" w:rsidRDefault="00E24534" w:rsidP="00DA1ED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25545">
              <w:rPr>
                <w:rFonts w:cstheme="minorHAnsi"/>
                <w:sz w:val="24"/>
                <w:szCs w:val="24"/>
              </w:rPr>
              <w:t>Establecer el proceso por</w:t>
            </w:r>
            <w:r w:rsidR="00D34030" w:rsidRPr="00325545">
              <w:rPr>
                <w:rFonts w:cstheme="minorHAnsi"/>
                <w:sz w:val="24"/>
                <w:szCs w:val="24"/>
              </w:rPr>
              <w:t xml:space="preserve"> el cual se le notifica al CNB</w:t>
            </w:r>
            <w:r w:rsidR="00100D62" w:rsidRPr="00325545">
              <w:rPr>
                <w:rFonts w:cstheme="minorHAnsi"/>
                <w:sz w:val="24"/>
                <w:szCs w:val="24"/>
              </w:rPr>
              <w:t>I</w:t>
            </w:r>
            <w:r w:rsidRPr="00325545">
              <w:rPr>
                <w:rFonts w:cstheme="minorHAnsi"/>
                <w:sz w:val="24"/>
                <w:szCs w:val="24"/>
              </w:rPr>
              <w:t xml:space="preserve"> de los Eventos Adversos Serios e información de seguridad, así como también el proceso de análisis de los mismos.</w:t>
            </w:r>
          </w:p>
        </w:tc>
      </w:tr>
      <w:tr w:rsidR="00471446" w:rsidRPr="00325545" w:rsidTr="00DA1ED2">
        <w:tc>
          <w:tcPr>
            <w:tcW w:w="8978" w:type="dxa"/>
            <w:shd w:val="clear" w:color="auto" w:fill="C2D69B" w:themeFill="accent3" w:themeFillTint="99"/>
          </w:tcPr>
          <w:p w:rsidR="00471446" w:rsidRPr="00325545" w:rsidRDefault="00471446" w:rsidP="00DA1ED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545">
              <w:rPr>
                <w:rFonts w:cstheme="minorHAnsi"/>
                <w:b/>
                <w:sz w:val="24"/>
                <w:szCs w:val="24"/>
              </w:rPr>
              <w:t>Alcance</w:t>
            </w:r>
          </w:p>
        </w:tc>
      </w:tr>
      <w:tr w:rsidR="00471446" w:rsidRPr="00325545" w:rsidTr="00471446">
        <w:tc>
          <w:tcPr>
            <w:tcW w:w="8978" w:type="dxa"/>
          </w:tcPr>
          <w:p w:rsidR="00471446" w:rsidRPr="00325545" w:rsidRDefault="00E24534" w:rsidP="00DA1ED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25545">
              <w:rPr>
                <w:rFonts w:cstheme="minorHAnsi"/>
                <w:sz w:val="24"/>
                <w:szCs w:val="24"/>
              </w:rPr>
              <w:t>Involucra a todos los miembr</w:t>
            </w:r>
            <w:r w:rsidR="00B239E1" w:rsidRPr="00325545">
              <w:rPr>
                <w:rFonts w:cstheme="minorHAnsi"/>
                <w:sz w:val="24"/>
                <w:szCs w:val="24"/>
              </w:rPr>
              <w:t>os del Comité, quienes hacen un</w:t>
            </w:r>
            <w:r w:rsidRPr="00325545">
              <w:rPr>
                <w:rFonts w:cstheme="minorHAnsi"/>
                <w:sz w:val="24"/>
                <w:szCs w:val="24"/>
              </w:rPr>
              <w:t xml:space="preserve"> análisis en conjunto de los reportes presentados.</w:t>
            </w:r>
          </w:p>
        </w:tc>
      </w:tr>
    </w:tbl>
    <w:p w:rsidR="00A85348" w:rsidRPr="00325545" w:rsidRDefault="00A85348" w:rsidP="00DA1ED2">
      <w:pPr>
        <w:spacing w:after="0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27"/>
      </w:tblGrid>
      <w:tr w:rsidR="00471446" w:rsidRPr="00325545" w:rsidTr="00DA1ED2">
        <w:tc>
          <w:tcPr>
            <w:tcW w:w="8978" w:type="dxa"/>
            <w:gridSpan w:val="2"/>
            <w:shd w:val="clear" w:color="auto" w:fill="C2D69B" w:themeFill="accent3" w:themeFillTint="99"/>
          </w:tcPr>
          <w:p w:rsidR="00471446" w:rsidRPr="00325545" w:rsidRDefault="00471446" w:rsidP="00DA1ED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545">
              <w:rPr>
                <w:rFonts w:cstheme="minorHAnsi"/>
                <w:b/>
                <w:sz w:val="24"/>
                <w:szCs w:val="24"/>
              </w:rPr>
              <w:t>Definiciones</w:t>
            </w:r>
          </w:p>
        </w:tc>
      </w:tr>
      <w:tr w:rsidR="00471446" w:rsidRPr="00325545" w:rsidTr="00A27E9F">
        <w:tc>
          <w:tcPr>
            <w:tcW w:w="1951" w:type="dxa"/>
            <w:vAlign w:val="center"/>
          </w:tcPr>
          <w:p w:rsidR="00471446" w:rsidRPr="00325545" w:rsidRDefault="00E24534" w:rsidP="00DA1ED2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25545">
              <w:rPr>
                <w:rFonts w:cstheme="minorHAnsi"/>
                <w:i/>
                <w:sz w:val="24"/>
                <w:szCs w:val="24"/>
              </w:rPr>
              <w:t>Evento Adverso Serio</w:t>
            </w:r>
          </w:p>
        </w:tc>
        <w:tc>
          <w:tcPr>
            <w:tcW w:w="7027" w:type="dxa"/>
            <w:vAlign w:val="center"/>
          </w:tcPr>
          <w:p w:rsidR="007E2A74" w:rsidRPr="00325545" w:rsidRDefault="007E2A74" w:rsidP="00DA1ED2">
            <w:pPr>
              <w:jc w:val="both"/>
              <w:rPr>
                <w:rFonts w:cstheme="minorHAnsi"/>
                <w:sz w:val="24"/>
                <w:szCs w:val="24"/>
              </w:rPr>
            </w:pPr>
            <w:r w:rsidRPr="00325545">
              <w:rPr>
                <w:rFonts w:cstheme="minorHAnsi"/>
                <w:sz w:val="24"/>
                <w:szCs w:val="24"/>
              </w:rPr>
              <w:t>Cualquier acontecimiento médico desfavorable que a cualquier dosis: produce la muerte del paciente, amenaza la vida del paciente, requiere hospitalización o la prolongación de una hospitalización existente, produce una incapacidad/invalidez significativa o persistente, produce en defecto de nacimiento o una anomalía congénita.</w:t>
            </w:r>
          </w:p>
        </w:tc>
      </w:tr>
      <w:tr w:rsidR="00325545" w:rsidRPr="00325545" w:rsidTr="00C44EB4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45" w:rsidRPr="00325545" w:rsidRDefault="00325545" w:rsidP="00DA1ED2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25545" w:rsidRPr="00325545" w:rsidRDefault="00325545" w:rsidP="00DA1ED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25545" w:rsidRPr="00325545" w:rsidTr="00D05206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45" w:rsidRPr="00325545" w:rsidRDefault="00325545" w:rsidP="00DA1ED2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25545" w:rsidRPr="00325545" w:rsidRDefault="00325545" w:rsidP="00DA1ED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71446" w:rsidRPr="00325545" w:rsidRDefault="00471446" w:rsidP="00DA1ED2">
      <w:pPr>
        <w:spacing w:after="0"/>
        <w:rPr>
          <w:rFonts w:cstheme="minorHAnsi"/>
          <w:sz w:val="24"/>
          <w:szCs w:val="24"/>
        </w:rPr>
      </w:pPr>
    </w:p>
    <w:p w:rsidR="00A85348" w:rsidRPr="00325545" w:rsidRDefault="00A85348" w:rsidP="00DA1ED2">
      <w:pPr>
        <w:spacing w:after="0"/>
        <w:rPr>
          <w:rFonts w:cstheme="minorHAnsi"/>
          <w:sz w:val="24"/>
          <w:szCs w:val="24"/>
        </w:rPr>
      </w:pPr>
    </w:p>
    <w:tbl>
      <w:tblPr>
        <w:tblStyle w:val="Tablaconcuadrcula"/>
        <w:tblpPr w:leftFromText="141" w:rightFromText="141" w:vertAnchor="text" w:tblpXSpec="righ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27"/>
      </w:tblGrid>
      <w:tr w:rsidR="00471446" w:rsidRPr="00325545" w:rsidTr="00DA1ED2">
        <w:tc>
          <w:tcPr>
            <w:tcW w:w="8978" w:type="dxa"/>
            <w:gridSpan w:val="2"/>
            <w:shd w:val="clear" w:color="auto" w:fill="C2D69B" w:themeFill="accent3" w:themeFillTint="99"/>
          </w:tcPr>
          <w:p w:rsidR="00471446" w:rsidRPr="00325545" w:rsidRDefault="00471446" w:rsidP="00DA1ED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545">
              <w:rPr>
                <w:rFonts w:cstheme="minorHAnsi"/>
                <w:b/>
                <w:sz w:val="24"/>
                <w:szCs w:val="24"/>
              </w:rPr>
              <w:t>Responsabilidades</w:t>
            </w:r>
          </w:p>
        </w:tc>
      </w:tr>
      <w:tr w:rsidR="00471446" w:rsidRPr="00325545" w:rsidTr="00DA1ED2">
        <w:tc>
          <w:tcPr>
            <w:tcW w:w="1951" w:type="dxa"/>
          </w:tcPr>
          <w:p w:rsidR="00471446" w:rsidRPr="00325545" w:rsidRDefault="00E24534" w:rsidP="00DA1E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25545">
              <w:rPr>
                <w:rFonts w:cstheme="minorHAnsi"/>
                <w:sz w:val="24"/>
                <w:szCs w:val="24"/>
              </w:rPr>
              <w:t>Secretaria Técnica</w:t>
            </w:r>
          </w:p>
        </w:tc>
        <w:tc>
          <w:tcPr>
            <w:tcW w:w="7027" w:type="dxa"/>
          </w:tcPr>
          <w:p w:rsidR="00471446" w:rsidRPr="00325545" w:rsidRDefault="00E24534" w:rsidP="00DA1E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25545">
              <w:rPr>
                <w:rFonts w:cstheme="minorHAnsi"/>
                <w:sz w:val="24"/>
                <w:szCs w:val="24"/>
              </w:rPr>
              <w:t>Encargada de la recepción de los reportes de Eventos Adversos Serios e información de seguridad y su distr</w:t>
            </w:r>
            <w:r w:rsidR="00100D62" w:rsidRPr="00325545">
              <w:rPr>
                <w:rFonts w:cstheme="minorHAnsi"/>
                <w:sz w:val="24"/>
                <w:szCs w:val="24"/>
              </w:rPr>
              <w:t xml:space="preserve">ibución a los miembros del </w:t>
            </w:r>
            <w:r w:rsidR="00325545" w:rsidRPr="00325545">
              <w:rPr>
                <w:rFonts w:cstheme="minorHAnsi"/>
                <w:sz w:val="24"/>
                <w:szCs w:val="24"/>
              </w:rPr>
              <w:t>CNBI</w:t>
            </w:r>
            <w:r w:rsidRPr="0032554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71446" w:rsidRPr="00325545" w:rsidTr="00DA1ED2">
        <w:tc>
          <w:tcPr>
            <w:tcW w:w="1951" w:type="dxa"/>
          </w:tcPr>
          <w:p w:rsidR="00471446" w:rsidRPr="00325545" w:rsidRDefault="00E24534" w:rsidP="00DA1E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25545">
              <w:rPr>
                <w:rFonts w:cstheme="minorHAnsi"/>
                <w:sz w:val="24"/>
                <w:szCs w:val="24"/>
              </w:rPr>
              <w:t>Miembros del Comité</w:t>
            </w:r>
            <w:r w:rsidR="00325545" w:rsidRPr="00325545">
              <w:rPr>
                <w:rFonts w:cstheme="minorHAnsi"/>
                <w:sz w:val="24"/>
                <w:szCs w:val="24"/>
              </w:rPr>
              <w:t xml:space="preserve"> CNBI</w:t>
            </w:r>
          </w:p>
        </w:tc>
        <w:tc>
          <w:tcPr>
            <w:tcW w:w="7027" w:type="dxa"/>
          </w:tcPr>
          <w:p w:rsidR="00E24534" w:rsidRPr="00325545" w:rsidRDefault="00E24534" w:rsidP="00DA1E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25545">
              <w:rPr>
                <w:rFonts w:cstheme="minorHAnsi"/>
                <w:sz w:val="24"/>
                <w:szCs w:val="24"/>
              </w:rPr>
              <w:t xml:space="preserve">Responsables de la revisión de los reportes de Eventos Adversos Serios e información de seguridad que se presente de los protocolos de investigación aprobados por el </w:t>
            </w:r>
            <w:r w:rsidR="00325545" w:rsidRPr="00325545">
              <w:rPr>
                <w:rFonts w:cstheme="minorHAnsi"/>
                <w:sz w:val="24"/>
                <w:szCs w:val="24"/>
              </w:rPr>
              <w:t>CNBI</w:t>
            </w:r>
            <w:r w:rsidRPr="00325545">
              <w:rPr>
                <w:rFonts w:cstheme="minorHAnsi"/>
                <w:sz w:val="24"/>
                <w:szCs w:val="24"/>
              </w:rPr>
              <w:t>.</w:t>
            </w:r>
          </w:p>
          <w:p w:rsidR="00E24534" w:rsidRPr="00325545" w:rsidRDefault="00E24534" w:rsidP="00DA1E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25545">
              <w:rPr>
                <w:rFonts w:cstheme="minorHAnsi"/>
                <w:sz w:val="24"/>
                <w:szCs w:val="24"/>
              </w:rPr>
              <w:t>Supervisar a los comités de ética independientes/institucionales, en el análisis y seguimiento de los Eventos Adversos Serios e información de seguridad reportados de los protocolos que aprueben.</w:t>
            </w:r>
          </w:p>
        </w:tc>
      </w:tr>
    </w:tbl>
    <w:p w:rsidR="00B70836" w:rsidRDefault="00DA1ED2" w:rsidP="00DA1ED2">
      <w:pPr>
        <w:spacing w:after="0"/>
        <w:rPr>
          <w:rFonts w:cstheme="minorHAnsi"/>
          <w:sz w:val="24"/>
          <w:szCs w:val="24"/>
        </w:rPr>
      </w:pPr>
      <w:r w:rsidRPr="00325545">
        <w:rPr>
          <w:rFonts w:cstheme="minorHAnsi"/>
          <w:sz w:val="24"/>
          <w:szCs w:val="24"/>
        </w:rPr>
        <w:br w:type="textWrapping" w:clear="all"/>
      </w:r>
    </w:p>
    <w:p w:rsidR="00B70836" w:rsidRDefault="00B708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85348" w:rsidRPr="00325545" w:rsidRDefault="00A85348" w:rsidP="00DA1ED2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71446" w:rsidRPr="00325545" w:rsidTr="00DA1ED2">
        <w:tc>
          <w:tcPr>
            <w:tcW w:w="8978" w:type="dxa"/>
            <w:shd w:val="clear" w:color="auto" w:fill="C2D69B" w:themeFill="accent3" w:themeFillTint="99"/>
          </w:tcPr>
          <w:p w:rsidR="00471446" w:rsidRPr="00325545" w:rsidRDefault="00471446" w:rsidP="00DA1ED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545">
              <w:rPr>
                <w:rFonts w:cstheme="minorHAnsi"/>
                <w:b/>
                <w:sz w:val="24"/>
                <w:szCs w:val="24"/>
              </w:rPr>
              <w:t>Descripción del procedimiento</w:t>
            </w:r>
          </w:p>
        </w:tc>
      </w:tr>
      <w:tr w:rsidR="00471446" w:rsidRPr="00325545" w:rsidTr="00471446">
        <w:tc>
          <w:tcPr>
            <w:tcW w:w="8978" w:type="dxa"/>
          </w:tcPr>
          <w:p w:rsidR="00684079" w:rsidRPr="00325545" w:rsidRDefault="005236F6" w:rsidP="00DA1ED2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25545">
              <w:rPr>
                <w:rFonts w:cstheme="minorHAnsi"/>
                <w:b/>
                <w:sz w:val="24"/>
                <w:szCs w:val="24"/>
              </w:rPr>
              <w:t>Requisi</w:t>
            </w:r>
            <w:r w:rsidR="00D05206" w:rsidRPr="00325545">
              <w:rPr>
                <w:rFonts w:cstheme="minorHAnsi"/>
                <w:b/>
                <w:sz w:val="24"/>
                <w:szCs w:val="24"/>
              </w:rPr>
              <w:t>tos</w:t>
            </w:r>
          </w:p>
          <w:p w:rsidR="005236F6" w:rsidRPr="00325545" w:rsidRDefault="00D9116F" w:rsidP="00DA1ED2">
            <w:pPr>
              <w:pStyle w:val="Prrafodelista"/>
              <w:numPr>
                <w:ilvl w:val="1"/>
                <w:numId w:val="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25545">
              <w:rPr>
                <w:rFonts w:cstheme="minorHAnsi"/>
                <w:sz w:val="24"/>
                <w:szCs w:val="24"/>
              </w:rPr>
              <w:t>Para a</w:t>
            </w:r>
            <w:r w:rsidR="005236F6" w:rsidRPr="00325545">
              <w:rPr>
                <w:rFonts w:cstheme="minorHAnsi"/>
                <w:sz w:val="24"/>
                <w:szCs w:val="24"/>
              </w:rPr>
              <w:t>quellos protocolos que h</w:t>
            </w:r>
            <w:r w:rsidR="00100D62" w:rsidRPr="00325545">
              <w:rPr>
                <w:rFonts w:cstheme="minorHAnsi"/>
                <w:sz w:val="24"/>
                <w:szCs w:val="24"/>
              </w:rPr>
              <w:t xml:space="preserve">ayan sido aprobados por el </w:t>
            </w:r>
            <w:r w:rsidR="00325545" w:rsidRPr="00325545">
              <w:rPr>
                <w:rFonts w:cstheme="minorHAnsi"/>
                <w:sz w:val="24"/>
                <w:szCs w:val="24"/>
              </w:rPr>
              <w:t>CNBI</w:t>
            </w:r>
            <w:r w:rsidR="005236F6" w:rsidRPr="00325545">
              <w:rPr>
                <w:rFonts w:cstheme="minorHAnsi"/>
                <w:sz w:val="24"/>
                <w:szCs w:val="24"/>
              </w:rPr>
              <w:t xml:space="preserve">, </w:t>
            </w:r>
            <w:r w:rsidRPr="00325545">
              <w:rPr>
                <w:rFonts w:cstheme="minorHAnsi"/>
                <w:sz w:val="24"/>
                <w:szCs w:val="24"/>
              </w:rPr>
              <w:t xml:space="preserve">el investigador </w:t>
            </w:r>
            <w:r w:rsidR="005236F6" w:rsidRPr="00325545">
              <w:rPr>
                <w:rFonts w:cstheme="minorHAnsi"/>
                <w:sz w:val="24"/>
                <w:szCs w:val="24"/>
              </w:rPr>
              <w:t>debe h</w:t>
            </w:r>
            <w:r w:rsidR="00100D62" w:rsidRPr="00325545">
              <w:rPr>
                <w:rFonts w:cstheme="minorHAnsi"/>
                <w:sz w:val="24"/>
                <w:szCs w:val="24"/>
              </w:rPr>
              <w:t xml:space="preserve">acer el reporte directo al </w:t>
            </w:r>
            <w:r w:rsidR="00325545" w:rsidRPr="00325545">
              <w:rPr>
                <w:rFonts w:cstheme="minorHAnsi"/>
                <w:sz w:val="24"/>
                <w:szCs w:val="24"/>
              </w:rPr>
              <w:t>CNBI</w:t>
            </w:r>
            <w:r w:rsidR="005236F6" w:rsidRPr="00325545">
              <w:rPr>
                <w:rFonts w:cstheme="minorHAnsi"/>
                <w:sz w:val="24"/>
                <w:szCs w:val="24"/>
              </w:rPr>
              <w:t xml:space="preserve"> en un máximo de 24 horas posterior al conocimiento del </w:t>
            </w:r>
            <w:r w:rsidRPr="00325545">
              <w:rPr>
                <w:rFonts w:cstheme="minorHAnsi"/>
                <w:sz w:val="24"/>
                <w:szCs w:val="24"/>
              </w:rPr>
              <w:t>evento</w:t>
            </w:r>
            <w:r w:rsidR="005236F6" w:rsidRPr="00325545">
              <w:rPr>
                <w:rFonts w:cstheme="minorHAnsi"/>
                <w:sz w:val="24"/>
                <w:szCs w:val="24"/>
              </w:rPr>
              <w:t>.</w:t>
            </w:r>
            <w:r w:rsidR="007E2A74" w:rsidRPr="00325545">
              <w:rPr>
                <w:rFonts w:cstheme="minorHAnsi"/>
                <w:sz w:val="24"/>
                <w:szCs w:val="24"/>
              </w:rPr>
              <w:t xml:space="preserve">  Esto aplica a los Eventos Adversos Serios locales.</w:t>
            </w:r>
          </w:p>
          <w:p w:rsidR="005236F6" w:rsidRPr="00325545" w:rsidRDefault="005236F6" w:rsidP="00DA1ED2">
            <w:pPr>
              <w:pStyle w:val="Prrafodelista"/>
              <w:numPr>
                <w:ilvl w:val="1"/>
                <w:numId w:val="2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25545">
              <w:rPr>
                <w:rFonts w:cstheme="minorHAnsi"/>
                <w:sz w:val="24"/>
                <w:szCs w:val="24"/>
              </w:rPr>
              <w:t>El reporte se realiza utilizando el documento PT-0</w:t>
            </w:r>
            <w:r w:rsidR="005B45BA" w:rsidRPr="00325545">
              <w:rPr>
                <w:rFonts w:cstheme="minorHAnsi"/>
                <w:sz w:val="24"/>
                <w:szCs w:val="24"/>
              </w:rPr>
              <w:t>3</w:t>
            </w:r>
            <w:r w:rsidR="003366C3" w:rsidRPr="00325545">
              <w:rPr>
                <w:rFonts w:cstheme="minorHAnsi"/>
                <w:sz w:val="24"/>
                <w:szCs w:val="24"/>
              </w:rPr>
              <w:t>2</w:t>
            </w:r>
            <w:r w:rsidRPr="00325545">
              <w:rPr>
                <w:rFonts w:cstheme="minorHAnsi"/>
                <w:sz w:val="24"/>
                <w:szCs w:val="24"/>
              </w:rPr>
              <w:t xml:space="preserve"> Reporte de Evento Adverso Serio, el cual puede ser entregado vía fax</w:t>
            </w:r>
            <w:r w:rsidR="006A7971" w:rsidRPr="00325545">
              <w:rPr>
                <w:rFonts w:cstheme="minorHAnsi"/>
                <w:sz w:val="24"/>
                <w:szCs w:val="24"/>
              </w:rPr>
              <w:t>, correo electrónico</w:t>
            </w:r>
            <w:r w:rsidRPr="00325545">
              <w:rPr>
                <w:rFonts w:cstheme="minorHAnsi"/>
                <w:sz w:val="24"/>
                <w:szCs w:val="24"/>
              </w:rPr>
              <w:t xml:space="preserve">, </w:t>
            </w:r>
            <w:r w:rsidR="00D9116F" w:rsidRPr="00325545">
              <w:rPr>
                <w:rFonts w:cstheme="minorHAnsi"/>
                <w:sz w:val="24"/>
                <w:szCs w:val="24"/>
              </w:rPr>
              <w:t xml:space="preserve">y </w:t>
            </w:r>
            <w:r w:rsidR="007E2A74" w:rsidRPr="00325545">
              <w:rPr>
                <w:rFonts w:cstheme="minorHAnsi"/>
                <w:sz w:val="24"/>
                <w:szCs w:val="24"/>
              </w:rPr>
              <w:t xml:space="preserve">por entrega </w:t>
            </w:r>
            <w:r w:rsidR="006A7971" w:rsidRPr="00325545">
              <w:rPr>
                <w:rFonts w:cstheme="minorHAnsi"/>
                <w:sz w:val="24"/>
                <w:szCs w:val="24"/>
              </w:rPr>
              <w:t xml:space="preserve">física </w:t>
            </w:r>
            <w:r w:rsidR="00100D62" w:rsidRPr="00325545">
              <w:rPr>
                <w:rFonts w:cstheme="minorHAnsi"/>
                <w:sz w:val="24"/>
                <w:szCs w:val="24"/>
              </w:rPr>
              <w:t xml:space="preserve">de reporte al </w:t>
            </w:r>
            <w:r w:rsidR="00325545" w:rsidRPr="00325545">
              <w:rPr>
                <w:rFonts w:cstheme="minorHAnsi"/>
                <w:sz w:val="24"/>
                <w:szCs w:val="24"/>
              </w:rPr>
              <w:t>CNBI</w:t>
            </w:r>
            <w:r w:rsidR="007E2A74" w:rsidRPr="00325545">
              <w:rPr>
                <w:rFonts w:cstheme="minorHAnsi"/>
                <w:sz w:val="24"/>
                <w:szCs w:val="24"/>
              </w:rPr>
              <w:t>.</w:t>
            </w:r>
          </w:p>
          <w:p w:rsidR="005236F6" w:rsidRPr="00325545" w:rsidRDefault="00D34030" w:rsidP="00DA1ED2">
            <w:pPr>
              <w:pStyle w:val="Prrafodelista"/>
              <w:numPr>
                <w:ilvl w:val="1"/>
                <w:numId w:val="2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25545">
              <w:rPr>
                <w:rFonts w:cstheme="minorHAnsi"/>
                <w:sz w:val="24"/>
                <w:szCs w:val="24"/>
              </w:rPr>
              <w:t>El CNB</w:t>
            </w:r>
            <w:r w:rsidR="00D635E9" w:rsidRPr="00325545">
              <w:rPr>
                <w:rFonts w:cstheme="minorHAnsi"/>
                <w:sz w:val="24"/>
                <w:szCs w:val="24"/>
              </w:rPr>
              <w:t>I</w:t>
            </w:r>
            <w:r w:rsidR="005236F6" w:rsidRPr="00325545">
              <w:rPr>
                <w:rFonts w:cstheme="minorHAnsi"/>
                <w:sz w:val="24"/>
                <w:szCs w:val="24"/>
              </w:rPr>
              <w:t xml:space="preserve"> no otorgará una nota de acuse de recibo del evento recibido</w:t>
            </w:r>
            <w:r w:rsidR="00294171" w:rsidRPr="00325545">
              <w:rPr>
                <w:rFonts w:cstheme="minorHAnsi"/>
                <w:sz w:val="24"/>
                <w:szCs w:val="24"/>
              </w:rPr>
              <w:t>, sin embargo</w:t>
            </w:r>
            <w:r w:rsidR="00DA1ED2" w:rsidRPr="00325545">
              <w:rPr>
                <w:rFonts w:cstheme="minorHAnsi"/>
                <w:sz w:val="24"/>
                <w:szCs w:val="24"/>
              </w:rPr>
              <w:t>,</w:t>
            </w:r>
            <w:r w:rsidR="00294171" w:rsidRPr="00325545">
              <w:rPr>
                <w:rFonts w:cstheme="minorHAnsi"/>
                <w:sz w:val="24"/>
                <w:szCs w:val="24"/>
              </w:rPr>
              <w:t xml:space="preserve"> según la vía de entrega confirmará la recepción</w:t>
            </w:r>
            <w:r w:rsidR="005236F6" w:rsidRPr="00325545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364D9" w:rsidRPr="00325545" w:rsidRDefault="008E6554" w:rsidP="00DA1ED2">
            <w:pPr>
              <w:pStyle w:val="Prrafodelista"/>
              <w:numPr>
                <w:ilvl w:val="1"/>
                <w:numId w:val="2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25545">
              <w:rPr>
                <w:rFonts w:cstheme="minorHAnsi"/>
                <w:sz w:val="24"/>
                <w:szCs w:val="24"/>
              </w:rPr>
              <w:t>El investigador debe llevar a cabo reportes del segui</w:t>
            </w:r>
            <w:r w:rsidR="007E2A74" w:rsidRPr="00325545">
              <w:rPr>
                <w:rFonts w:cstheme="minorHAnsi"/>
                <w:sz w:val="24"/>
                <w:szCs w:val="24"/>
              </w:rPr>
              <w:t xml:space="preserve">miento de forma frecuente, </w:t>
            </w:r>
            <w:r w:rsidRPr="00325545">
              <w:rPr>
                <w:rFonts w:cstheme="minorHAnsi"/>
                <w:sz w:val="24"/>
                <w:szCs w:val="24"/>
              </w:rPr>
              <w:t>por lo menos 1 vez al mes</w:t>
            </w:r>
            <w:r w:rsidR="00294171" w:rsidRPr="00325545">
              <w:rPr>
                <w:rFonts w:cstheme="minorHAnsi"/>
                <w:sz w:val="24"/>
                <w:szCs w:val="24"/>
              </w:rPr>
              <w:t xml:space="preserve"> o al ocurrir cambios clínicos significativos</w:t>
            </w:r>
            <w:r w:rsidRPr="00325545">
              <w:rPr>
                <w:rFonts w:cstheme="minorHAnsi"/>
                <w:sz w:val="24"/>
                <w:szCs w:val="24"/>
              </w:rPr>
              <w:t>, hasta la finalización del evento.</w:t>
            </w:r>
          </w:p>
          <w:p w:rsidR="00AA6D79" w:rsidRPr="00325545" w:rsidRDefault="00AA6D79" w:rsidP="00DA1ED2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684079" w:rsidRPr="00325545" w:rsidRDefault="005236F6" w:rsidP="00DA1ED2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25545">
              <w:rPr>
                <w:rFonts w:cstheme="minorHAnsi"/>
                <w:b/>
                <w:sz w:val="24"/>
                <w:szCs w:val="24"/>
              </w:rPr>
              <w:t>Requisitos para el Reporte de Información de Seguridad</w:t>
            </w:r>
          </w:p>
          <w:p w:rsidR="00684079" w:rsidRPr="00325545" w:rsidRDefault="00684079" w:rsidP="00DA1ED2">
            <w:pPr>
              <w:pStyle w:val="Prrafodelista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FE6949" w:rsidRPr="00325545" w:rsidRDefault="00AA6D79" w:rsidP="00DA1ED2">
            <w:pPr>
              <w:pStyle w:val="Prrafodelista"/>
              <w:numPr>
                <w:ilvl w:val="1"/>
                <w:numId w:val="2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25545">
              <w:rPr>
                <w:rFonts w:cstheme="minorHAnsi"/>
                <w:sz w:val="24"/>
                <w:szCs w:val="24"/>
              </w:rPr>
              <w:t>E</w:t>
            </w:r>
            <w:r w:rsidR="00D9116F" w:rsidRPr="00325545">
              <w:rPr>
                <w:rFonts w:cstheme="minorHAnsi"/>
                <w:sz w:val="24"/>
                <w:szCs w:val="24"/>
              </w:rPr>
              <w:t xml:space="preserve">l investigador </w:t>
            </w:r>
            <w:r w:rsidR="00FE6949" w:rsidRPr="00325545">
              <w:rPr>
                <w:rFonts w:cstheme="minorHAnsi"/>
                <w:sz w:val="24"/>
                <w:szCs w:val="24"/>
              </w:rPr>
              <w:t>debe ha</w:t>
            </w:r>
            <w:r w:rsidR="00D9116F" w:rsidRPr="00325545">
              <w:rPr>
                <w:rFonts w:cstheme="minorHAnsi"/>
                <w:sz w:val="24"/>
                <w:szCs w:val="24"/>
              </w:rPr>
              <w:t>cer el reporte de</w:t>
            </w:r>
            <w:r w:rsidR="00FE6949" w:rsidRPr="00325545">
              <w:rPr>
                <w:rFonts w:cstheme="minorHAnsi"/>
                <w:sz w:val="24"/>
                <w:szCs w:val="24"/>
              </w:rPr>
              <w:t xml:space="preserve"> información de seguridad del producto</w:t>
            </w:r>
            <w:r w:rsidR="00E35302" w:rsidRPr="00325545">
              <w:rPr>
                <w:rFonts w:cstheme="minorHAnsi"/>
                <w:sz w:val="24"/>
                <w:szCs w:val="24"/>
              </w:rPr>
              <w:t xml:space="preserve"> </w:t>
            </w:r>
            <w:r w:rsidR="00FE6949" w:rsidRPr="00325545">
              <w:rPr>
                <w:rFonts w:cstheme="minorHAnsi"/>
                <w:sz w:val="24"/>
                <w:szCs w:val="24"/>
              </w:rPr>
              <w:t xml:space="preserve">en un lapso de 7 </w:t>
            </w:r>
            <w:r w:rsidR="00E35302" w:rsidRPr="00325545">
              <w:rPr>
                <w:rFonts w:cstheme="minorHAnsi"/>
                <w:sz w:val="24"/>
                <w:szCs w:val="24"/>
              </w:rPr>
              <w:t xml:space="preserve">días para eventos que atenten contra la vida y </w:t>
            </w:r>
            <w:r w:rsidR="00FE6949" w:rsidRPr="00325545">
              <w:rPr>
                <w:rFonts w:cstheme="minorHAnsi"/>
                <w:sz w:val="24"/>
                <w:szCs w:val="24"/>
              </w:rPr>
              <w:t xml:space="preserve">15 días </w:t>
            </w:r>
            <w:r w:rsidR="00E35302" w:rsidRPr="00325545">
              <w:rPr>
                <w:rFonts w:cstheme="minorHAnsi"/>
                <w:sz w:val="24"/>
                <w:szCs w:val="24"/>
              </w:rPr>
              <w:t xml:space="preserve">para eventos que no atenten contra la vida, </w:t>
            </w:r>
            <w:r w:rsidR="00FE6949" w:rsidRPr="00325545">
              <w:rPr>
                <w:rFonts w:cstheme="minorHAnsi"/>
                <w:sz w:val="24"/>
                <w:szCs w:val="24"/>
              </w:rPr>
              <w:t xml:space="preserve">posterior al conocimiento del evento por parte del </w:t>
            </w:r>
            <w:r w:rsidR="00946C1B" w:rsidRPr="00325545">
              <w:rPr>
                <w:rFonts w:cstheme="minorHAnsi"/>
                <w:sz w:val="24"/>
                <w:szCs w:val="24"/>
              </w:rPr>
              <w:t>Investigador</w:t>
            </w:r>
            <w:r w:rsidR="00E35302" w:rsidRPr="00325545">
              <w:rPr>
                <w:rFonts w:cstheme="minorHAnsi"/>
                <w:sz w:val="24"/>
                <w:szCs w:val="24"/>
              </w:rPr>
              <w:t>.</w:t>
            </w:r>
            <w:r w:rsidR="00E35302" w:rsidRPr="00325545">
              <w:rPr>
                <w:rFonts w:cstheme="minorHAnsi"/>
                <w:color w:val="FF0000"/>
                <w:sz w:val="24"/>
                <w:szCs w:val="24"/>
              </w:rPr>
              <w:t xml:space="preserve">  </w:t>
            </w:r>
          </w:p>
          <w:p w:rsidR="00FE6949" w:rsidRPr="00325545" w:rsidRDefault="00FE6949" w:rsidP="00DA1ED2">
            <w:pPr>
              <w:pStyle w:val="Prrafodelista"/>
              <w:numPr>
                <w:ilvl w:val="1"/>
                <w:numId w:val="2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25545">
              <w:rPr>
                <w:rFonts w:cstheme="minorHAnsi"/>
                <w:sz w:val="24"/>
                <w:szCs w:val="24"/>
              </w:rPr>
              <w:t>El reporte se realiza utilizando el documento PT-0</w:t>
            </w:r>
            <w:r w:rsidR="005B45BA" w:rsidRPr="00325545">
              <w:rPr>
                <w:rFonts w:cstheme="minorHAnsi"/>
                <w:sz w:val="24"/>
                <w:szCs w:val="24"/>
              </w:rPr>
              <w:t>3</w:t>
            </w:r>
            <w:r w:rsidR="003366C3" w:rsidRPr="00325545">
              <w:rPr>
                <w:rFonts w:cstheme="minorHAnsi"/>
                <w:sz w:val="24"/>
                <w:szCs w:val="24"/>
              </w:rPr>
              <w:t>3</w:t>
            </w:r>
            <w:r w:rsidRPr="00325545">
              <w:rPr>
                <w:rFonts w:cstheme="minorHAnsi"/>
                <w:sz w:val="24"/>
                <w:szCs w:val="24"/>
              </w:rPr>
              <w:t xml:space="preserve"> Reporte de Información de Seguridad, </w:t>
            </w:r>
            <w:r w:rsidR="00CC1615" w:rsidRPr="00325545">
              <w:rPr>
                <w:rFonts w:cstheme="minorHAnsi"/>
                <w:sz w:val="24"/>
                <w:szCs w:val="24"/>
              </w:rPr>
              <w:t>y adjun</w:t>
            </w:r>
            <w:r w:rsidR="00E35302" w:rsidRPr="00325545">
              <w:rPr>
                <w:rFonts w:cstheme="minorHAnsi"/>
                <w:sz w:val="24"/>
                <w:szCs w:val="24"/>
              </w:rPr>
              <w:t>tando copia del o los reportes de seguridad,</w:t>
            </w:r>
            <w:r w:rsidR="00CC1615" w:rsidRPr="00325545">
              <w:rPr>
                <w:rFonts w:cstheme="minorHAnsi"/>
                <w:sz w:val="24"/>
                <w:szCs w:val="24"/>
              </w:rPr>
              <w:t xml:space="preserve"> los cuales son entregados en dispositivo electrónico</w:t>
            </w:r>
            <w:r w:rsidR="00886A43" w:rsidRPr="00325545">
              <w:rPr>
                <w:rFonts w:cstheme="minorHAnsi"/>
                <w:sz w:val="24"/>
                <w:szCs w:val="24"/>
              </w:rPr>
              <w:t xml:space="preserve"> o</w:t>
            </w:r>
            <w:r w:rsidR="00B239E1" w:rsidRPr="00325545">
              <w:rPr>
                <w:rFonts w:cstheme="minorHAnsi"/>
                <w:sz w:val="24"/>
                <w:szCs w:val="24"/>
              </w:rPr>
              <w:t xml:space="preserve"> la vía establecida por el CNB</w:t>
            </w:r>
            <w:r w:rsidR="00100D62" w:rsidRPr="00325545">
              <w:rPr>
                <w:rFonts w:cstheme="minorHAnsi"/>
                <w:sz w:val="24"/>
                <w:szCs w:val="24"/>
              </w:rPr>
              <w:t>I</w:t>
            </w:r>
            <w:r w:rsidR="00CC1615" w:rsidRPr="00325545">
              <w:rPr>
                <w:rFonts w:cstheme="minorHAnsi"/>
                <w:sz w:val="24"/>
                <w:szCs w:val="24"/>
              </w:rPr>
              <w:t>.  Dichos reportes de seguridad pueden ser recibidos en idioma inglés, pero el llenado del PT-0</w:t>
            </w:r>
            <w:r w:rsidR="005B45BA" w:rsidRPr="00325545">
              <w:rPr>
                <w:rFonts w:cstheme="minorHAnsi"/>
                <w:sz w:val="24"/>
                <w:szCs w:val="24"/>
              </w:rPr>
              <w:t>3</w:t>
            </w:r>
            <w:r w:rsidR="003366C3" w:rsidRPr="00325545">
              <w:rPr>
                <w:rFonts w:cstheme="minorHAnsi"/>
                <w:sz w:val="24"/>
                <w:szCs w:val="24"/>
              </w:rPr>
              <w:t>3</w:t>
            </w:r>
            <w:r w:rsidR="00CC1615" w:rsidRPr="00325545">
              <w:rPr>
                <w:rFonts w:cstheme="minorHAnsi"/>
                <w:sz w:val="24"/>
                <w:szCs w:val="24"/>
              </w:rPr>
              <w:t xml:space="preserve"> debe ser en idioma español.</w:t>
            </w:r>
          </w:p>
          <w:p w:rsidR="004D0CC8" w:rsidRPr="00325545" w:rsidRDefault="00B239E1" w:rsidP="00DA1ED2">
            <w:pPr>
              <w:pStyle w:val="Prrafodelista"/>
              <w:numPr>
                <w:ilvl w:val="1"/>
                <w:numId w:val="2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25545">
              <w:rPr>
                <w:rFonts w:cstheme="minorHAnsi"/>
                <w:sz w:val="24"/>
                <w:szCs w:val="24"/>
              </w:rPr>
              <w:t>El CNB</w:t>
            </w:r>
            <w:r w:rsidR="00100D62" w:rsidRPr="00325545">
              <w:rPr>
                <w:rFonts w:cstheme="minorHAnsi"/>
                <w:sz w:val="24"/>
                <w:szCs w:val="24"/>
              </w:rPr>
              <w:t>I</w:t>
            </w:r>
            <w:r w:rsidR="004D0CC8" w:rsidRPr="00325545">
              <w:rPr>
                <w:rFonts w:cstheme="minorHAnsi"/>
                <w:sz w:val="24"/>
                <w:szCs w:val="24"/>
              </w:rPr>
              <w:t xml:space="preserve"> no otorgará una nota de acuse de recibo del evento recibido, sin </w:t>
            </w:r>
            <w:proofErr w:type="gramStart"/>
            <w:r w:rsidR="004D0CC8" w:rsidRPr="00325545">
              <w:rPr>
                <w:rFonts w:cstheme="minorHAnsi"/>
                <w:sz w:val="24"/>
                <w:szCs w:val="24"/>
              </w:rPr>
              <w:t>embargo</w:t>
            </w:r>
            <w:proofErr w:type="gramEnd"/>
            <w:r w:rsidR="004D0CC8" w:rsidRPr="00325545">
              <w:rPr>
                <w:rFonts w:cstheme="minorHAnsi"/>
                <w:sz w:val="24"/>
                <w:szCs w:val="24"/>
              </w:rPr>
              <w:t xml:space="preserve"> según la vía de entrega confirmará la recepción. </w:t>
            </w:r>
          </w:p>
          <w:p w:rsidR="00CC1615" w:rsidRPr="00325545" w:rsidRDefault="00325545" w:rsidP="00DA1ED2">
            <w:pPr>
              <w:pStyle w:val="Prrafodelista"/>
              <w:numPr>
                <w:ilvl w:val="1"/>
                <w:numId w:val="2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listados deber ser enviados en formato electrónico</w:t>
            </w:r>
            <w:r w:rsidR="00FE17ED" w:rsidRPr="00325545">
              <w:rPr>
                <w:rFonts w:cstheme="minorHAnsi"/>
                <w:sz w:val="24"/>
                <w:szCs w:val="24"/>
              </w:rPr>
              <w:t xml:space="preserve"> en un plazo de 15 días posterior a la recepción por parte del sitio de investigación. </w:t>
            </w:r>
          </w:p>
          <w:p w:rsidR="00684079" w:rsidRPr="00325545" w:rsidRDefault="00684079" w:rsidP="00DA1ED2">
            <w:pPr>
              <w:pStyle w:val="Prrafodelista"/>
              <w:spacing w:line="276" w:lineRule="auto"/>
              <w:ind w:left="792"/>
              <w:rPr>
                <w:rFonts w:cstheme="minorHAnsi"/>
                <w:sz w:val="24"/>
                <w:szCs w:val="24"/>
              </w:rPr>
            </w:pPr>
          </w:p>
          <w:p w:rsidR="00FE17ED" w:rsidRPr="00325545" w:rsidRDefault="00FE17ED" w:rsidP="00DA1ED2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25545">
              <w:rPr>
                <w:rFonts w:cstheme="minorHAnsi"/>
                <w:b/>
                <w:sz w:val="24"/>
                <w:szCs w:val="24"/>
              </w:rPr>
              <w:t>Revisión de Eventos Adversos Serios y Reportes de Seguridad</w:t>
            </w:r>
          </w:p>
          <w:p w:rsidR="007E2A74" w:rsidRPr="00325545" w:rsidRDefault="00FE17ED" w:rsidP="00DA1ED2">
            <w:pPr>
              <w:pStyle w:val="Prrafodelista"/>
              <w:numPr>
                <w:ilvl w:val="1"/>
                <w:numId w:val="2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25545">
              <w:rPr>
                <w:rFonts w:cstheme="minorHAnsi"/>
                <w:sz w:val="24"/>
                <w:szCs w:val="24"/>
              </w:rPr>
              <w:lastRenderedPageBreak/>
              <w:t>Los eventos adversos serios y reportes de se</w:t>
            </w:r>
            <w:r w:rsidR="00B239E1" w:rsidRPr="00325545">
              <w:rPr>
                <w:rFonts w:cstheme="minorHAnsi"/>
                <w:sz w:val="24"/>
                <w:szCs w:val="24"/>
              </w:rPr>
              <w:t>guridad son presentados al CNB</w:t>
            </w:r>
            <w:r w:rsidR="00100D62" w:rsidRPr="00325545">
              <w:rPr>
                <w:rFonts w:cstheme="minorHAnsi"/>
                <w:sz w:val="24"/>
                <w:szCs w:val="24"/>
              </w:rPr>
              <w:t>I</w:t>
            </w:r>
            <w:r w:rsidRPr="00325545">
              <w:rPr>
                <w:rFonts w:cstheme="minorHAnsi"/>
                <w:sz w:val="24"/>
                <w:szCs w:val="24"/>
              </w:rPr>
              <w:t>, la Secretaria Técnica es responsable de su recepción e inclusión en agenda</w:t>
            </w:r>
            <w:r w:rsidR="007E2A74" w:rsidRPr="00325545">
              <w:rPr>
                <w:rFonts w:cstheme="minorHAnsi"/>
                <w:sz w:val="24"/>
                <w:szCs w:val="24"/>
              </w:rPr>
              <w:t xml:space="preserve"> de cada sesión</w:t>
            </w:r>
            <w:r w:rsidRPr="00325545">
              <w:rPr>
                <w:rFonts w:cstheme="minorHAnsi"/>
                <w:sz w:val="24"/>
                <w:szCs w:val="24"/>
              </w:rPr>
              <w:t>.  Designa de form</w:t>
            </w:r>
            <w:r w:rsidR="00B239E1" w:rsidRPr="00325545">
              <w:rPr>
                <w:rFonts w:cstheme="minorHAnsi"/>
                <w:sz w:val="24"/>
                <w:szCs w:val="24"/>
              </w:rPr>
              <w:t xml:space="preserve">a alterna </w:t>
            </w:r>
            <w:r w:rsidR="00325545">
              <w:rPr>
                <w:rFonts w:cstheme="minorHAnsi"/>
                <w:sz w:val="24"/>
                <w:szCs w:val="24"/>
              </w:rPr>
              <w:t>a tres miembros</w:t>
            </w:r>
            <w:r w:rsidR="00B239E1" w:rsidRPr="00325545">
              <w:rPr>
                <w:rFonts w:cstheme="minorHAnsi"/>
                <w:sz w:val="24"/>
                <w:szCs w:val="24"/>
              </w:rPr>
              <w:t xml:space="preserve"> del CNB</w:t>
            </w:r>
            <w:r w:rsidR="00100D62" w:rsidRPr="00325545">
              <w:rPr>
                <w:rFonts w:cstheme="minorHAnsi"/>
                <w:sz w:val="24"/>
                <w:szCs w:val="24"/>
              </w:rPr>
              <w:t>I</w:t>
            </w:r>
            <w:r w:rsidRPr="00325545">
              <w:rPr>
                <w:rFonts w:cstheme="minorHAnsi"/>
                <w:sz w:val="24"/>
                <w:szCs w:val="24"/>
              </w:rPr>
              <w:t xml:space="preserve"> para el envío de dicha documentación, al menos 10 días hábiles antes de la sesión en que se hace la revisión.</w:t>
            </w:r>
          </w:p>
          <w:p w:rsidR="00FE17ED" w:rsidRPr="00325545" w:rsidRDefault="00FE17ED" w:rsidP="00DA1ED2">
            <w:pPr>
              <w:pStyle w:val="Prrafodelista"/>
              <w:numPr>
                <w:ilvl w:val="1"/>
                <w:numId w:val="2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25545">
              <w:rPr>
                <w:rFonts w:cstheme="minorHAnsi"/>
                <w:sz w:val="24"/>
                <w:szCs w:val="24"/>
              </w:rPr>
              <w:t>La revisión de Eventos Adversos Serios locales tienen prioridad en la programación de la agenda de revisión de cada sesión.</w:t>
            </w:r>
          </w:p>
          <w:p w:rsidR="00FE17ED" w:rsidRPr="00325545" w:rsidRDefault="00B239E1" w:rsidP="00DA1ED2">
            <w:pPr>
              <w:pStyle w:val="Prrafodelista"/>
              <w:numPr>
                <w:ilvl w:val="1"/>
                <w:numId w:val="2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25545">
              <w:rPr>
                <w:rFonts w:cstheme="minorHAnsi"/>
                <w:sz w:val="24"/>
                <w:szCs w:val="24"/>
              </w:rPr>
              <w:t>El miembro del CNB</w:t>
            </w:r>
            <w:r w:rsidR="00100D62" w:rsidRPr="00325545">
              <w:rPr>
                <w:rFonts w:cstheme="minorHAnsi"/>
                <w:sz w:val="24"/>
                <w:szCs w:val="24"/>
              </w:rPr>
              <w:t>I</w:t>
            </w:r>
            <w:r w:rsidR="00FE17ED" w:rsidRPr="00325545">
              <w:rPr>
                <w:rFonts w:cstheme="minorHAnsi"/>
                <w:sz w:val="24"/>
                <w:szCs w:val="24"/>
              </w:rPr>
              <w:t xml:space="preserve"> designado, hace una revisión y el día de la reunión presenta su análisis y se discute con el resto de miembros.</w:t>
            </w:r>
          </w:p>
          <w:p w:rsidR="00FE17ED" w:rsidRPr="00325545" w:rsidRDefault="00FE17ED" w:rsidP="00DA1ED2">
            <w:pPr>
              <w:pStyle w:val="Prrafodelista"/>
              <w:numPr>
                <w:ilvl w:val="1"/>
                <w:numId w:val="2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25545">
              <w:rPr>
                <w:rFonts w:cstheme="minorHAnsi"/>
                <w:sz w:val="24"/>
                <w:szCs w:val="24"/>
              </w:rPr>
              <w:t>En caso de requerir una acción por parte del</w:t>
            </w:r>
            <w:r w:rsidR="00E35302" w:rsidRPr="00325545">
              <w:rPr>
                <w:rFonts w:cstheme="minorHAnsi"/>
                <w:sz w:val="24"/>
                <w:szCs w:val="24"/>
              </w:rPr>
              <w:t xml:space="preserve"> sitio, se solicita por escrito al sitio investigador</w:t>
            </w:r>
            <w:r w:rsidR="00294171" w:rsidRPr="00325545">
              <w:rPr>
                <w:rFonts w:cstheme="minorHAnsi"/>
                <w:sz w:val="24"/>
                <w:szCs w:val="24"/>
              </w:rPr>
              <w:t xml:space="preserve"> haciendo uso de la forma PT-027 Amonestación o solicitud de acción de seguimi</w:t>
            </w:r>
            <w:r w:rsidR="00DD3561" w:rsidRPr="00325545">
              <w:rPr>
                <w:rFonts w:cstheme="minorHAnsi"/>
                <w:sz w:val="24"/>
                <w:szCs w:val="24"/>
              </w:rPr>
              <w:t>ento por Investigador Principal.</w:t>
            </w:r>
          </w:p>
          <w:p w:rsidR="00FE6949" w:rsidRPr="00325545" w:rsidRDefault="00FE6949" w:rsidP="00DA1ED2">
            <w:pPr>
              <w:pStyle w:val="Prrafodelista"/>
              <w:spacing w:line="276" w:lineRule="auto"/>
              <w:ind w:left="792"/>
              <w:rPr>
                <w:rFonts w:cstheme="minorHAnsi"/>
                <w:sz w:val="24"/>
                <w:szCs w:val="24"/>
              </w:rPr>
            </w:pPr>
          </w:p>
        </w:tc>
      </w:tr>
      <w:tr w:rsidR="005236F6" w:rsidRPr="00325545" w:rsidTr="00471446">
        <w:tc>
          <w:tcPr>
            <w:tcW w:w="8978" w:type="dxa"/>
          </w:tcPr>
          <w:p w:rsidR="005236F6" w:rsidRPr="00325545" w:rsidRDefault="005236F6" w:rsidP="00DA1ED2">
            <w:pPr>
              <w:pStyle w:val="Prrafodelista"/>
              <w:spacing w:line="276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A1ED2" w:rsidRPr="00325545" w:rsidRDefault="00DA1ED2">
      <w:pPr>
        <w:rPr>
          <w:rFonts w:cstheme="minorHAnsi"/>
          <w:sz w:val="24"/>
          <w:szCs w:val="24"/>
        </w:rPr>
      </w:pPr>
    </w:p>
    <w:p w:rsidR="00A85348" w:rsidRPr="00325545" w:rsidRDefault="00A85348" w:rsidP="00DA1ED2">
      <w:pPr>
        <w:spacing w:after="0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71446" w:rsidRPr="00325545" w:rsidTr="00DA1ED2">
        <w:tc>
          <w:tcPr>
            <w:tcW w:w="8978" w:type="dxa"/>
            <w:shd w:val="clear" w:color="auto" w:fill="C2D69B" w:themeFill="accent3" w:themeFillTint="99"/>
          </w:tcPr>
          <w:p w:rsidR="00471446" w:rsidRPr="00325545" w:rsidRDefault="00471446" w:rsidP="00DA1ED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545">
              <w:rPr>
                <w:rFonts w:cstheme="minorHAnsi"/>
                <w:b/>
                <w:sz w:val="24"/>
                <w:szCs w:val="24"/>
              </w:rPr>
              <w:t>Documentos de Referencia</w:t>
            </w:r>
          </w:p>
        </w:tc>
      </w:tr>
      <w:tr w:rsidR="00471446" w:rsidRPr="00325545" w:rsidTr="00711C2C">
        <w:tc>
          <w:tcPr>
            <w:tcW w:w="8978" w:type="dxa"/>
          </w:tcPr>
          <w:p w:rsidR="00294171" w:rsidRPr="00325545" w:rsidRDefault="00294171" w:rsidP="00DA1ED2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25545">
              <w:rPr>
                <w:rFonts w:cstheme="minorHAnsi"/>
                <w:sz w:val="24"/>
                <w:szCs w:val="24"/>
              </w:rPr>
              <w:t xml:space="preserve">PT-027 Amonestación o solicitud de acción de seguimiento por Investigador Principal </w:t>
            </w:r>
          </w:p>
          <w:p w:rsidR="00471446" w:rsidRPr="00325545" w:rsidRDefault="005B45BA" w:rsidP="00DA1ED2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25545">
              <w:rPr>
                <w:rFonts w:cstheme="minorHAnsi"/>
                <w:sz w:val="24"/>
                <w:szCs w:val="24"/>
              </w:rPr>
              <w:t>PT-03</w:t>
            </w:r>
            <w:r w:rsidR="003366C3" w:rsidRPr="00325545">
              <w:rPr>
                <w:rFonts w:cstheme="minorHAnsi"/>
                <w:sz w:val="24"/>
                <w:szCs w:val="24"/>
              </w:rPr>
              <w:t>2</w:t>
            </w:r>
            <w:r w:rsidRPr="00325545">
              <w:rPr>
                <w:rFonts w:cstheme="minorHAnsi"/>
                <w:sz w:val="24"/>
                <w:szCs w:val="24"/>
              </w:rPr>
              <w:t xml:space="preserve"> Reporte de Evento Adverso Serio</w:t>
            </w:r>
          </w:p>
          <w:p w:rsidR="005B45BA" w:rsidRPr="00325545" w:rsidRDefault="005B45BA" w:rsidP="00DA1ED2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25545">
              <w:rPr>
                <w:rFonts w:cstheme="minorHAnsi"/>
                <w:sz w:val="24"/>
                <w:szCs w:val="24"/>
              </w:rPr>
              <w:t>PT-03</w:t>
            </w:r>
            <w:r w:rsidR="003366C3" w:rsidRPr="00325545">
              <w:rPr>
                <w:rFonts w:cstheme="minorHAnsi"/>
                <w:sz w:val="24"/>
                <w:szCs w:val="24"/>
              </w:rPr>
              <w:t>3</w:t>
            </w:r>
            <w:r w:rsidRPr="00325545">
              <w:rPr>
                <w:rFonts w:cstheme="minorHAnsi"/>
                <w:sz w:val="24"/>
                <w:szCs w:val="24"/>
              </w:rPr>
              <w:t xml:space="preserve"> Reporte de Información de Seguridad</w:t>
            </w:r>
          </w:p>
        </w:tc>
      </w:tr>
    </w:tbl>
    <w:p w:rsidR="00A85348" w:rsidRPr="00325545" w:rsidRDefault="00A85348" w:rsidP="00DA1ED2">
      <w:pPr>
        <w:spacing w:after="0"/>
        <w:rPr>
          <w:rFonts w:cstheme="minorHAnsi"/>
          <w:sz w:val="24"/>
          <w:szCs w:val="24"/>
        </w:rPr>
      </w:pPr>
    </w:p>
    <w:p w:rsidR="001546EB" w:rsidRPr="00325545" w:rsidRDefault="00471446" w:rsidP="00DA1ED2">
      <w:pPr>
        <w:spacing w:after="0"/>
        <w:rPr>
          <w:rFonts w:cstheme="minorHAnsi"/>
          <w:sz w:val="24"/>
          <w:szCs w:val="24"/>
        </w:rPr>
      </w:pPr>
      <w:r w:rsidRPr="00325545">
        <w:rPr>
          <w:rFonts w:cstheme="minorHAnsi"/>
          <w:sz w:val="24"/>
          <w:szCs w:val="24"/>
        </w:rPr>
        <w:t xml:space="preserve"> </w:t>
      </w:r>
    </w:p>
    <w:tbl>
      <w:tblPr>
        <w:tblStyle w:val="Tablaconcuadrcula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1546EB" w:rsidRPr="00325545" w:rsidTr="00DA1ED2">
        <w:tc>
          <w:tcPr>
            <w:tcW w:w="8978" w:type="dxa"/>
            <w:shd w:val="clear" w:color="auto" w:fill="C2D69B" w:themeFill="accent3" w:themeFillTint="99"/>
            <w:vAlign w:val="center"/>
          </w:tcPr>
          <w:p w:rsidR="001546EB" w:rsidRPr="00325545" w:rsidRDefault="001546EB" w:rsidP="00DA1ED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545">
              <w:rPr>
                <w:rFonts w:cstheme="minorHAnsi"/>
                <w:b/>
                <w:sz w:val="24"/>
                <w:szCs w:val="24"/>
              </w:rPr>
              <w:t>Historia de cambios</w:t>
            </w:r>
          </w:p>
        </w:tc>
      </w:tr>
    </w:tbl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CA4235" w:rsidRPr="00325545" w:rsidTr="00DA1ED2">
        <w:tc>
          <w:tcPr>
            <w:tcW w:w="2244" w:type="dxa"/>
            <w:shd w:val="clear" w:color="auto" w:fill="C2D69B" w:themeFill="accent3" w:themeFillTint="99"/>
            <w:vAlign w:val="center"/>
          </w:tcPr>
          <w:p w:rsidR="00CA4235" w:rsidRPr="00325545" w:rsidRDefault="00CA4235" w:rsidP="00DA1ED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545">
              <w:rPr>
                <w:rFonts w:cstheme="minorHAnsi"/>
                <w:b/>
                <w:sz w:val="24"/>
                <w:szCs w:val="24"/>
              </w:rPr>
              <w:t>Fecha del cambio:</w:t>
            </w:r>
          </w:p>
        </w:tc>
        <w:tc>
          <w:tcPr>
            <w:tcW w:w="2244" w:type="dxa"/>
            <w:shd w:val="clear" w:color="auto" w:fill="C2D69B" w:themeFill="accent3" w:themeFillTint="99"/>
            <w:vAlign w:val="center"/>
          </w:tcPr>
          <w:p w:rsidR="00CA4235" w:rsidRPr="00325545" w:rsidRDefault="00CA4235" w:rsidP="00DA1ED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545">
              <w:rPr>
                <w:rFonts w:cstheme="minorHAnsi"/>
                <w:b/>
                <w:sz w:val="24"/>
                <w:szCs w:val="24"/>
              </w:rPr>
              <w:t>Versión revisada / Fecha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:rsidR="00CA4235" w:rsidRPr="00325545" w:rsidRDefault="00CA4235" w:rsidP="00DA1ED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545">
              <w:rPr>
                <w:rFonts w:cstheme="minorHAnsi"/>
                <w:b/>
                <w:sz w:val="24"/>
                <w:szCs w:val="24"/>
              </w:rPr>
              <w:t>Cambio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:rsidR="00CA4235" w:rsidRPr="00325545" w:rsidRDefault="00CA4235" w:rsidP="00DA1ED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545">
              <w:rPr>
                <w:rFonts w:cstheme="minorHAnsi"/>
                <w:b/>
                <w:sz w:val="24"/>
                <w:szCs w:val="24"/>
              </w:rPr>
              <w:t>Justificación</w:t>
            </w:r>
          </w:p>
        </w:tc>
      </w:tr>
      <w:tr w:rsidR="00CA4235" w:rsidRPr="00325545" w:rsidTr="00471446">
        <w:tc>
          <w:tcPr>
            <w:tcW w:w="2244" w:type="dxa"/>
            <w:vAlign w:val="center"/>
          </w:tcPr>
          <w:p w:rsidR="00CA4235" w:rsidRPr="00325545" w:rsidRDefault="00325545" w:rsidP="00DA1ED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Enero 2018</w:t>
            </w:r>
          </w:p>
        </w:tc>
        <w:tc>
          <w:tcPr>
            <w:tcW w:w="2244" w:type="dxa"/>
            <w:vAlign w:val="center"/>
          </w:tcPr>
          <w:p w:rsidR="00CA4235" w:rsidRPr="00325545" w:rsidRDefault="00D05206" w:rsidP="00DA1ED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25545">
              <w:rPr>
                <w:rFonts w:cstheme="minorHAnsi"/>
                <w:sz w:val="24"/>
                <w:szCs w:val="24"/>
              </w:rPr>
              <w:t>v. 1.</w:t>
            </w:r>
            <w:r w:rsidR="00325545">
              <w:rPr>
                <w:rFonts w:cstheme="minorHAnsi"/>
                <w:sz w:val="24"/>
                <w:szCs w:val="24"/>
              </w:rPr>
              <w:t>2</w:t>
            </w:r>
          </w:p>
          <w:p w:rsidR="00D05206" w:rsidRPr="00325545" w:rsidRDefault="00D05206" w:rsidP="00DA1ED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25545">
              <w:rPr>
                <w:rFonts w:cstheme="minorHAnsi"/>
                <w:sz w:val="24"/>
                <w:szCs w:val="24"/>
              </w:rPr>
              <w:t>Junio 2016</w:t>
            </w:r>
          </w:p>
        </w:tc>
        <w:tc>
          <w:tcPr>
            <w:tcW w:w="2245" w:type="dxa"/>
            <w:vAlign w:val="center"/>
          </w:tcPr>
          <w:p w:rsidR="00CA4235" w:rsidRPr="00325545" w:rsidRDefault="00325545" w:rsidP="00DA1ED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Corrección de errores</w:t>
            </w:r>
          </w:p>
        </w:tc>
        <w:tc>
          <w:tcPr>
            <w:tcW w:w="2245" w:type="dxa"/>
            <w:vAlign w:val="center"/>
          </w:tcPr>
          <w:p w:rsidR="00CA4235" w:rsidRPr="00325545" w:rsidRDefault="00D05206" w:rsidP="00DA1ED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25545">
              <w:rPr>
                <w:rFonts w:cstheme="minorHAnsi"/>
                <w:sz w:val="24"/>
                <w:szCs w:val="24"/>
              </w:rPr>
              <w:t xml:space="preserve">Revisión general de </w:t>
            </w:r>
            <w:proofErr w:type="spellStart"/>
            <w:r w:rsidRPr="00325545">
              <w:rPr>
                <w:rFonts w:cstheme="minorHAnsi"/>
                <w:sz w:val="24"/>
                <w:szCs w:val="24"/>
              </w:rPr>
              <w:t>POs</w:t>
            </w:r>
            <w:proofErr w:type="spellEnd"/>
            <w:r w:rsidRPr="00325545">
              <w:rPr>
                <w:rFonts w:cstheme="minorHAnsi"/>
                <w:sz w:val="24"/>
                <w:szCs w:val="24"/>
              </w:rPr>
              <w:t xml:space="preserve"> y </w:t>
            </w:r>
            <w:proofErr w:type="spellStart"/>
            <w:r w:rsidRPr="00325545">
              <w:rPr>
                <w:rFonts w:cstheme="minorHAnsi"/>
                <w:sz w:val="24"/>
                <w:szCs w:val="24"/>
              </w:rPr>
              <w:t>PTs</w:t>
            </w:r>
            <w:proofErr w:type="spellEnd"/>
          </w:p>
        </w:tc>
      </w:tr>
    </w:tbl>
    <w:p w:rsidR="00325545" w:rsidRDefault="00325545" w:rsidP="00DA1ED2">
      <w:pPr>
        <w:spacing w:after="0"/>
        <w:rPr>
          <w:rFonts w:cstheme="minorHAnsi"/>
          <w:sz w:val="24"/>
          <w:szCs w:val="24"/>
        </w:rPr>
      </w:pPr>
    </w:p>
    <w:p w:rsidR="00325545" w:rsidRDefault="003255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CA4235" w:rsidRPr="00325545" w:rsidRDefault="00CA4235" w:rsidP="00DA1ED2">
      <w:pPr>
        <w:spacing w:after="0"/>
        <w:rPr>
          <w:rFonts w:cstheme="minorHAnsi"/>
          <w:sz w:val="24"/>
          <w:szCs w:val="24"/>
        </w:rPr>
      </w:pPr>
    </w:p>
    <w:p w:rsidR="00A85348" w:rsidRPr="00325545" w:rsidRDefault="00A85348" w:rsidP="00DA1ED2">
      <w:pPr>
        <w:spacing w:after="0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2245"/>
        <w:gridCol w:w="2245"/>
      </w:tblGrid>
      <w:tr w:rsidR="001335DF" w:rsidRPr="00325545" w:rsidTr="00DA1ED2">
        <w:tc>
          <w:tcPr>
            <w:tcW w:w="8978" w:type="dxa"/>
            <w:gridSpan w:val="3"/>
            <w:shd w:val="clear" w:color="auto" w:fill="C2D69B" w:themeFill="accent3" w:themeFillTint="99"/>
            <w:vAlign w:val="center"/>
          </w:tcPr>
          <w:p w:rsidR="001335DF" w:rsidRPr="00325545" w:rsidRDefault="001335DF" w:rsidP="00DA1ED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545">
              <w:rPr>
                <w:rFonts w:cstheme="minorHAnsi"/>
                <w:b/>
                <w:sz w:val="24"/>
                <w:szCs w:val="24"/>
              </w:rPr>
              <w:t>Preparado por</w:t>
            </w:r>
          </w:p>
        </w:tc>
      </w:tr>
      <w:tr w:rsidR="0060493A" w:rsidRPr="00325545" w:rsidTr="00DA1ED2">
        <w:tc>
          <w:tcPr>
            <w:tcW w:w="4488" w:type="dxa"/>
            <w:shd w:val="clear" w:color="auto" w:fill="C2D69B" w:themeFill="accent3" w:themeFillTint="99"/>
            <w:vAlign w:val="center"/>
          </w:tcPr>
          <w:p w:rsidR="0060493A" w:rsidRPr="00325545" w:rsidRDefault="0060493A" w:rsidP="00DA1ED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545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:rsidR="0060493A" w:rsidRPr="00325545" w:rsidRDefault="0060493A" w:rsidP="00DA1ED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545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:rsidR="0060493A" w:rsidRPr="00325545" w:rsidRDefault="0060493A" w:rsidP="00DA1ED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545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0493A" w:rsidRPr="00325545" w:rsidTr="0060493A">
        <w:trPr>
          <w:trHeight w:val="469"/>
        </w:trPr>
        <w:tc>
          <w:tcPr>
            <w:tcW w:w="4488" w:type="dxa"/>
            <w:vAlign w:val="center"/>
          </w:tcPr>
          <w:p w:rsidR="00371690" w:rsidRPr="00325545" w:rsidRDefault="00371690" w:rsidP="00DA1ED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60493A" w:rsidRPr="00325545" w:rsidRDefault="0060493A" w:rsidP="00DA1ED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2554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85348" w:rsidRPr="00325545" w:rsidRDefault="00A85348" w:rsidP="00DA1ED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60493A" w:rsidRPr="00325545" w:rsidRDefault="0060493A" w:rsidP="00DA1ED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60493A" w:rsidRPr="00325545" w:rsidRDefault="0060493A" w:rsidP="00DA1ED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0493A" w:rsidRPr="00325545" w:rsidTr="00DA1ED2">
        <w:tc>
          <w:tcPr>
            <w:tcW w:w="8978" w:type="dxa"/>
            <w:gridSpan w:val="3"/>
            <w:shd w:val="clear" w:color="auto" w:fill="C2D69B" w:themeFill="accent3" w:themeFillTint="99"/>
            <w:vAlign w:val="center"/>
          </w:tcPr>
          <w:p w:rsidR="0060493A" w:rsidRPr="00325545" w:rsidRDefault="0060493A" w:rsidP="00DA1ED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545">
              <w:rPr>
                <w:rFonts w:cstheme="minorHAnsi"/>
                <w:b/>
                <w:sz w:val="24"/>
                <w:szCs w:val="24"/>
              </w:rPr>
              <w:t xml:space="preserve">Revisado </w:t>
            </w:r>
            <w:r w:rsidR="00A85348" w:rsidRPr="00325545">
              <w:rPr>
                <w:rFonts w:cstheme="minorHAnsi"/>
                <w:b/>
                <w:sz w:val="24"/>
                <w:szCs w:val="24"/>
              </w:rPr>
              <w:t xml:space="preserve">y Aprobado </w:t>
            </w:r>
            <w:r w:rsidRPr="00325545">
              <w:rPr>
                <w:rFonts w:cstheme="minorHAnsi"/>
                <w:b/>
                <w:sz w:val="24"/>
                <w:szCs w:val="24"/>
              </w:rPr>
              <w:t>por</w:t>
            </w:r>
          </w:p>
        </w:tc>
      </w:tr>
      <w:tr w:rsidR="0060493A" w:rsidRPr="00325545" w:rsidTr="00DA1ED2">
        <w:tc>
          <w:tcPr>
            <w:tcW w:w="4488" w:type="dxa"/>
            <w:shd w:val="clear" w:color="auto" w:fill="C2D69B" w:themeFill="accent3" w:themeFillTint="99"/>
            <w:vAlign w:val="center"/>
          </w:tcPr>
          <w:p w:rsidR="0060493A" w:rsidRPr="00325545" w:rsidRDefault="0060493A" w:rsidP="00DA1ED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545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:rsidR="0060493A" w:rsidRPr="00325545" w:rsidRDefault="0060493A" w:rsidP="00DA1ED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545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:rsidR="0060493A" w:rsidRPr="00325545" w:rsidRDefault="0060493A" w:rsidP="00DA1ED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545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0493A" w:rsidRPr="00325545" w:rsidTr="00711C2C">
        <w:trPr>
          <w:trHeight w:val="469"/>
        </w:trPr>
        <w:tc>
          <w:tcPr>
            <w:tcW w:w="4488" w:type="dxa"/>
            <w:vAlign w:val="center"/>
          </w:tcPr>
          <w:p w:rsidR="00371690" w:rsidRPr="00325545" w:rsidRDefault="00371690" w:rsidP="00DA1ED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371690" w:rsidRPr="00325545" w:rsidRDefault="00371690" w:rsidP="00DA1ED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60493A" w:rsidRPr="00325545" w:rsidRDefault="00B239E1" w:rsidP="00DA1ED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25545">
              <w:rPr>
                <w:rFonts w:cstheme="minorHAnsi"/>
                <w:sz w:val="24"/>
                <w:szCs w:val="24"/>
              </w:rPr>
              <w:t>Presidente del CNB</w:t>
            </w:r>
            <w:r w:rsidR="00100D62" w:rsidRPr="00325545">
              <w:rPr>
                <w:rFonts w:cstheme="minorHAnsi"/>
                <w:sz w:val="24"/>
                <w:szCs w:val="24"/>
              </w:rPr>
              <w:t>I</w:t>
            </w:r>
            <w:r w:rsidR="0060493A" w:rsidRPr="0032554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vAlign w:val="center"/>
          </w:tcPr>
          <w:p w:rsidR="0060493A" w:rsidRPr="00325545" w:rsidRDefault="0060493A" w:rsidP="00DA1ED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60493A" w:rsidRPr="00325545" w:rsidRDefault="0060493A" w:rsidP="00DA1ED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A4235" w:rsidRPr="00325545" w:rsidRDefault="00CA4235" w:rsidP="00DA1ED2">
      <w:pPr>
        <w:spacing w:after="0"/>
        <w:rPr>
          <w:rFonts w:cstheme="minorHAnsi"/>
          <w:sz w:val="24"/>
          <w:szCs w:val="24"/>
        </w:rPr>
      </w:pPr>
    </w:p>
    <w:sectPr w:rsidR="00CA4235" w:rsidRPr="00325545" w:rsidSect="00781A7C">
      <w:headerReference w:type="default" r:id="rId8"/>
      <w:footerReference w:type="default" r:id="rId9"/>
      <w:pgSz w:w="12240" w:h="15840"/>
      <w:pgMar w:top="19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DA1" w:rsidRDefault="00332DA1" w:rsidP="00CA4235">
      <w:pPr>
        <w:spacing w:after="0" w:line="240" w:lineRule="auto"/>
      </w:pPr>
      <w:r>
        <w:separator/>
      </w:r>
    </w:p>
  </w:endnote>
  <w:endnote w:type="continuationSeparator" w:id="0">
    <w:p w:rsidR="00332DA1" w:rsidRDefault="00332DA1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235" w:rsidRPr="0060493A" w:rsidRDefault="00621BAB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 xml:space="preserve">Comité Nacional de </w:t>
    </w:r>
    <w:r w:rsidR="00B239E1">
      <w:rPr>
        <w:rFonts w:ascii="Arial" w:hAnsi="Arial" w:cs="Arial"/>
        <w:i/>
        <w:color w:val="000000" w:themeColor="text1"/>
        <w:sz w:val="16"/>
        <w:szCs w:val="16"/>
      </w:rPr>
      <w:t>Bioé</w:t>
    </w:r>
    <w:r>
      <w:rPr>
        <w:rFonts w:ascii="Arial" w:hAnsi="Arial" w:cs="Arial"/>
        <w:i/>
        <w:color w:val="000000" w:themeColor="text1"/>
        <w:sz w:val="16"/>
        <w:szCs w:val="16"/>
      </w:rPr>
      <w:t>tica de la</w:t>
    </w:r>
    <w:r w:rsidR="0060493A" w:rsidRPr="0060493A">
      <w:rPr>
        <w:rFonts w:ascii="Arial" w:hAnsi="Arial" w:cs="Arial"/>
        <w:i/>
        <w:color w:val="000000" w:themeColor="text1"/>
        <w:sz w:val="16"/>
        <w:szCs w:val="16"/>
      </w:rPr>
      <w:t xml:space="preserve"> Investigación de Panamá</w:t>
    </w:r>
  </w:p>
  <w:p w:rsidR="0060493A" w:rsidRDefault="0060493A" w:rsidP="0060493A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Página </w:t>
    </w:r>
    <w:r w:rsidR="00B77D09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="00B77D09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B70836" w:rsidRPr="00B70836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1</w:t>
    </w:r>
    <w:r w:rsidR="00B77D09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 de </w:t>
    </w:r>
    <w:r w:rsidR="001F27D1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begin"/>
    </w:r>
    <w:r w:rsidR="001F27D1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instrText>NUMPAGES  \* Arabic  \* MERGEFORMAT</w:instrText>
    </w:r>
    <w:r w:rsidR="001F27D1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separate"/>
    </w:r>
    <w:r w:rsidR="00B70836" w:rsidRPr="00B70836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4</w:t>
    </w:r>
    <w:r w:rsidR="001F27D1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:rsidR="00781A7C" w:rsidRPr="0060493A" w:rsidRDefault="00781A7C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DA1" w:rsidRDefault="00332DA1" w:rsidP="00CA4235">
      <w:pPr>
        <w:spacing w:after="0" w:line="240" w:lineRule="auto"/>
      </w:pPr>
      <w:r>
        <w:separator/>
      </w:r>
    </w:p>
  </w:footnote>
  <w:footnote w:type="continuationSeparator" w:id="0">
    <w:p w:rsidR="00332DA1" w:rsidRDefault="00332DA1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348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625"/>
      <w:gridCol w:w="7723"/>
    </w:tblGrid>
    <w:tr w:rsidR="009D11CF" w:rsidTr="005A5EF4">
      <w:trPr>
        <w:trHeight w:val="1130"/>
        <w:jc w:val="center"/>
      </w:trPr>
      <w:tc>
        <w:tcPr>
          <w:tcW w:w="26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9D11CF" w:rsidRPr="009D3E03" w:rsidRDefault="009D11CF" w:rsidP="005A5EF4">
          <w:pPr>
            <w:pStyle w:val="Piedepgina"/>
            <w:jc w:val="center"/>
            <w:rPr>
              <w:rFonts w:cs="Arial"/>
              <w:b/>
              <w:noProof/>
              <w:sz w:val="24"/>
              <w:szCs w:val="24"/>
              <w:lang w:eastAsia="es-MX"/>
            </w:rPr>
          </w:pPr>
          <w:r w:rsidRPr="007C2018">
            <w:rPr>
              <w:rFonts w:cs="Arial"/>
              <w:b/>
              <w:noProof/>
              <w:sz w:val="24"/>
              <w:szCs w:val="24"/>
              <w:lang w:val="es-PA" w:eastAsia="es-P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12065</wp:posOffset>
                </wp:positionV>
                <wp:extent cx="1146810" cy="640080"/>
                <wp:effectExtent l="19050" t="0" r="0" b="0"/>
                <wp:wrapNone/>
                <wp:docPr id="1" name="Imagen 4" descr="Z:\CNBI-Logo_6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CNBI-Logo_6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81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2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9D11CF" w:rsidRPr="009D3E03" w:rsidRDefault="009D11CF" w:rsidP="005A5EF4">
          <w:pPr>
            <w:pStyle w:val="Piedepgina"/>
            <w:jc w:val="center"/>
            <w:rPr>
              <w:rFonts w:cs="Arial"/>
              <w:b/>
              <w:sz w:val="24"/>
              <w:szCs w:val="24"/>
            </w:rPr>
          </w:pPr>
          <w:r w:rsidRPr="009D3E03">
            <w:rPr>
              <w:rFonts w:cs="Arial"/>
              <w:b/>
              <w:sz w:val="24"/>
              <w:szCs w:val="24"/>
            </w:rPr>
            <w:t xml:space="preserve"> </w:t>
          </w:r>
        </w:p>
        <w:p w:rsidR="009D11CF" w:rsidRPr="009D3E03" w:rsidRDefault="009D11CF" w:rsidP="005A5EF4">
          <w:pPr>
            <w:pStyle w:val="Piedepgina"/>
            <w:jc w:val="center"/>
            <w:rPr>
              <w:rFonts w:cs="Arial"/>
              <w:b/>
              <w:noProof/>
              <w:sz w:val="24"/>
              <w:szCs w:val="24"/>
              <w:lang w:eastAsia="es-MX"/>
            </w:rPr>
          </w:pPr>
          <w:r w:rsidRPr="009D3E03">
            <w:rPr>
              <w:rFonts w:cs="Arial"/>
              <w:b/>
              <w:sz w:val="24"/>
              <w:szCs w:val="24"/>
            </w:rPr>
            <w:t xml:space="preserve">Comité Nacional de </w:t>
          </w:r>
          <w:r>
            <w:rPr>
              <w:rFonts w:cs="Arial"/>
              <w:b/>
              <w:sz w:val="24"/>
              <w:szCs w:val="24"/>
            </w:rPr>
            <w:t>Bioética</w:t>
          </w:r>
          <w:r w:rsidRPr="009D3E03">
            <w:rPr>
              <w:rFonts w:cs="Arial"/>
              <w:b/>
              <w:sz w:val="24"/>
              <w:szCs w:val="24"/>
            </w:rPr>
            <w:t xml:space="preserve"> de la Investigación de Panamá</w:t>
          </w:r>
          <w:r w:rsidRPr="009D3E03">
            <w:rPr>
              <w:rFonts w:cs="Arial"/>
              <w:b/>
              <w:noProof/>
              <w:sz w:val="24"/>
              <w:szCs w:val="24"/>
              <w:lang w:eastAsia="es-MX"/>
            </w:rPr>
            <w:t xml:space="preserve"> </w:t>
          </w:r>
        </w:p>
        <w:p w:rsidR="009D11CF" w:rsidRPr="009D3E03" w:rsidRDefault="009D11CF" w:rsidP="005A5EF4">
          <w:pPr>
            <w:pStyle w:val="Piedepgina"/>
            <w:ind w:left="884" w:hanging="884"/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Procedimiento Operativo Estándar</w:t>
          </w:r>
        </w:p>
      </w:tc>
    </w:tr>
    <w:tr w:rsidR="009D11CF" w:rsidRPr="00DB33FA" w:rsidTr="00DA1ED2">
      <w:trPr>
        <w:trHeight w:val="564"/>
        <w:jc w:val="center"/>
      </w:trPr>
      <w:tc>
        <w:tcPr>
          <w:tcW w:w="26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:rsidR="009D11CF" w:rsidRPr="00DB33FA" w:rsidRDefault="009D11CF" w:rsidP="005A5EF4">
          <w:pPr>
            <w:pStyle w:val="Piedepgina"/>
            <w:jc w:val="center"/>
            <w:rPr>
              <w:rFonts w:cs="Arial"/>
              <w:b/>
              <w:sz w:val="24"/>
              <w:szCs w:val="24"/>
            </w:rPr>
          </w:pPr>
          <w:r w:rsidRPr="00DB33FA">
            <w:rPr>
              <w:rFonts w:cs="Arial"/>
              <w:b/>
              <w:sz w:val="24"/>
              <w:szCs w:val="24"/>
            </w:rPr>
            <w:t>Código: PO-014</w:t>
          </w:r>
        </w:p>
      </w:tc>
      <w:tc>
        <w:tcPr>
          <w:tcW w:w="772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9D11CF" w:rsidRPr="00DB33FA" w:rsidRDefault="009D11CF" w:rsidP="001F27D1">
          <w:pPr>
            <w:rPr>
              <w:b/>
              <w:sz w:val="28"/>
            </w:rPr>
          </w:pPr>
          <w:r w:rsidRPr="00DB33FA">
            <w:rPr>
              <w:b/>
              <w:sz w:val="24"/>
              <w:szCs w:val="24"/>
            </w:rPr>
            <w:t xml:space="preserve">Título: </w:t>
          </w:r>
          <w:r w:rsidRPr="00DB33FA">
            <w:rPr>
              <w:rFonts w:cs="Arial"/>
              <w:b/>
              <w:sz w:val="24"/>
              <w:szCs w:val="24"/>
            </w:rPr>
            <w:t>Revisión Eventos Adversos Serios e Información de Seguridad</w:t>
          </w:r>
        </w:p>
        <w:p w:rsidR="009D11CF" w:rsidRPr="00DB33FA" w:rsidRDefault="009D11CF" w:rsidP="005A5EF4">
          <w:pPr>
            <w:pStyle w:val="Piedepgina"/>
            <w:jc w:val="both"/>
            <w:rPr>
              <w:b/>
              <w:sz w:val="24"/>
              <w:szCs w:val="24"/>
            </w:rPr>
          </w:pPr>
        </w:p>
      </w:tc>
    </w:tr>
    <w:tr w:rsidR="00DA1ED2" w:rsidTr="00DB33FA">
      <w:trPr>
        <w:trHeight w:val="564"/>
        <w:jc w:val="center"/>
      </w:trPr>
      <w:tc>
        <w:tcPr>
          <w:tcW w:w="26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</w:tcPr>
        <w:p w:rsidR="00DA1ED2" w:rsidRPr="009D3E03" w:rsidRDefault="00DA1ED2" w:rsidP="005A5EF4">
          <w:pPr>
            <w:pStyle w:val="Piedepgina"/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Versión</w:t>
          </w:r>
          <w:r w:rsidR="00DB33FA">
            <w:rPr>
              <w:rFonts w:cs="Arial"/>
              <w:b/>
              <w:sz w:val="24"/>
              <w:szCs w:val="24"/>
            </w:rPr>
            <w:t>:</w:t>
          </w:r>
          <w:r>
            <w:rPr>
              <w:rFonts w:cs="Arial"/>
              <w:b/>
              <w:sz w:val="24"/>
              <w:szCs w:val="24"/>
            </w:rPr>
            <w:t xml:space="preserve"> 1.</w:t>
          </w:r>
          <w:r w:rsidR="00325545">
            <w:rPr>
              <w:rFonts w:cs="Arial"/>
              <w:b/>
              <w:sz w:val="24"/>
              <w:szCs w:val="24"/>
            </w:rPr>
            <w:t>3</w:t>
          </w:r>
        </w:p>
      </w:tc>
      <w:tc>
        <w:tcPr>
          <w:tcW w:w="772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A1ED2" w:rsidRPr="009D3E03" w:rsidRDefault="00DA1ED2" w:rsidP="001F27D1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Fecha: </w:t>
          </w:r>
          <w:proofErr w:type="gramStart"/>
          <w:r w:rsidR="00DB33FA">
            <w:rPr>
              <w:sz w:val="24"/>
              <w:szCs w:val="24"/>
            </w:rPr>
            <w:t>E</w:t>
          </w:r>
          <w:r>
            <w:rPr>
              <w:sz w:val="24"/>
              <w:szCs w:val="24"/>
            </w:rPr>
            <w:t>nero</w:t>
          </w:r>
          <w:proofErr w:type="gramEnd"/>
          <w:r>
            <w:rPr>
              <w:sz w:val="24"/>
              <w:szCs w:val="24"/>
            </w:rPr>
            <w:t xml:space="preserve"> 2018</w:t>
          </w:r>
        </w:p>
      </w:tc>
    </w:tr>
  </w:tbl>
  <w:p w:rsidR="009D11CF" w:rsidRPr="001232C3" w:rsidRDefault="009D11CF" w:rsidP="00781A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97DF8"/>
    <w:multiLevelType w:val="hybridMultilevel"/>
    <w:tmpl w:val="D474E074"/>
    <w:lvl w:ilvl="0" w:tplc="140A000F">
      <w:start w:val="1"/>
      <w:numFmt w:val="decimal"/>
      <w:lvlText w:val="%1."/>
      <w:lvlJc w:val="left"/>
      <w:pPr>
        <w:ind w:left="1512" w:hanging="360"/>
      </w:pPr>
    </w:lvl>
    <w:lvl w:ilvl="1" w:tplc="140A0019" w:tentative="1">
      <w:start w:val="1"/>
      <w:numFmt w:val="lowerLetter"/>
      <w:lvlText w:val="%2."/>
      <w:lvlJc w:val="left"/>
      <w:pPr>
        <w:ind w:left="2232" w:hanging="360"/>
      </w:pPr>
    </w:lvl>
    <w:lvl w:ilvl="2" w:tplc="140A001B" w:tentative="1">
      <w:start w:val="1"/>
      <w:numFmt w:val="lowerRoman"/>
      <w:lvlText w:val="%3."/>
      <w:lvlJc w:val="right"/>
      <w:pPr>
        <w:ind w:left="2952" w:hanging="180"/>
      </w:pPr>
    </w:lvl>
    <w:lvl w:ilvl="3" w:tplc="140A000F" w:tentative="1">
      <w:start w:val="1"/>
      <w:numFmt w:val="decimal"/>
      <w:lvlText w:val="%4."/>
      <w:lvlJc w:val="left"/>
      <w:pPr>
        <w:ind w:left="3672" w:hanging="360"/>
      </w:pPr>
    </w:lvl>
    <w:lvl w:ilvl="4" w:tplc="140A0019" w:tentative="1">
      <w:start w:val="1"/>
      <w:numFmt w:val="lowerLetter"/>
      <w:lvlText w:val="%5."/>
      <w:lvlJc w:val="left"/>
      <w:pPr>
        <w:ind w:left="4392" w:hanging="360"/>
      </w:pPr>
    </w:lvl>
    <w:lvl w:ilvl="5" w:tplc="140A001B" w:tentative="1">
      <w:start w:val="1"/>
      <w:numFmt w:val="lowerRoman"/>
      <w:lvlText w:val="%6."/>
      <w:lvlJc w:val="right"/>
      <w:pPr>
        <w:ind w:left="5112" w:hanging="180"/>
      </w:pPr>
    </w:lvl>
    <w:lvl w:ilvl="6" w:tplc="140A000F" w:tentative="1">
      <w:start w:val="1"/>
      <w:numFmt w:val="decimal"/>
      <w:lvlText w:val="%7."/>
      <w:lvlJc w:val="left"/>
      <w:pPr>
        <w:ind w:left="5832" w:hanging="360"/>
      </w:pPr>
    </w:lvl>
    <w:lvl w:ilvl="7" w:tplc="140A0019" w:tentative="1">
      <w:start w:val="1"/>
      <w:numFmt w:val="lowerLetter"/>
      <w:lvlText w:val="%8."/>
      <w:lvlJc w:val="left"/>
      <w:pPr>
        <w:ind w:left="6552" w:hanging="360"/>
      </w:pPr>
    </w:lvl>
    <w:lvl w:ilvl="8" w:tplc="14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47217120"/>
    <w:multiLevelType w:val="hybridMultilevel"/>
    <w:tmpl w:val="46244D58"/>
    <w:lvl w:ilvl="0" w:tplc="140A000F">
      <w:start w:val="1"/>
      <w:numFmt w:val="decimal"/>
      <w:lvlText w:val="%1."/>
      <w:lvlJc w:val="left"/>
      <w:pPr>
        <w:ind w:left="1512" w:hanging="360"/>
      </w:pPr>
    </w:lvl>
    <w:lvl w:ilvl="1" w:tplc="140A0019" w:tentative="1">
      <w:start w:val="1"/>
      <w:numFmt w:val="lowerLetter"/>
      <w:lvlText w:val="%2."/>
      <w:lvlJc w:val="left"/>
      <w:pPr>
        <w:ind w:left="2232" w:hanging="360"/>
      </w:pPr>
    </w:lvl>
    <w:lvl w:ilvl="2" w:tplc="140A001B" w:tentative="1">
      <w:start w:val="1"/>
      <w:numFmt w:val="lowerRoman"/>
      <w:lvlText w:val="%3."/>
      <w:lvlJc w:val="right"/>
      <w:pPr>
        <w:ind w:left="2952" w:hanging="180"/>
      </w:pPr>
    </w:lvl>
    <w:lvl w:ilvl="3" w:tplc="140A000F" w:tentative="1">
      <w:start w:val="1"/>
      <w:numFmt w:val="decimal"/>
      <w:lvlText w:val="%4."/>
      <w:lvlJc w:val="left"/>
      <w:pPr>
        <w:ind w:left="3672" w:hanging="360"/>
      </w:pPr>
    </w:lvl>
    <w:lvl w:ilvl="4" w:tplc="140A0019" w:tentative="1">
      <w:start w:val="1"/>
      <w:numFmt w:val="lowerLetter"/>
      <w:lvlText w:val="%5."/>
      <w:lvlJc w:val="left"/>
      <w:pPr>
        <w:ind w:left="4392" w:hanging="360"/>
      </w:pPr>
    </w:lvl>
    <w:lvl w:ilvl="5" w:tplc="140A001B" w:tentative="1">
      <w:start w:val="1"/>
      <w:numFmt w:val="lowerRoman"/>
      <w:lvlText w:val="%6."/>
      <w:lvlJc w:val="right"/>
      <w:pPr>
        <w:ind w:left="5112" w:hanging="180"/>
      </w:pPr>
    </w:lvl>
    <w:lvl w:ilvl="6" w:tplc="140A000F" w:tentative="1">
      <w:start w:val="1"/>
      <w:numFmt w:val="decimal"/>
      <w:lvlText w:val="%7."/>
      <w:lvlJc w:val="left"/>
      <w:pPr>
        <w:ind w:left="5832" w:hanging="360"/>
      </w:pPr>
    </w:lvl>
    <w:lvl w:ilvl="7" w:tplc="140A0019" w:tentative="1">
      <w:start w:val="1"/>
      <w:numFmt w:val="lowerLetter"/>
      <w:lvlText w:val="%8."/>
      <w:lvlJc w:val="left"/>
      <w:pPr>
        <w:ind w:left="6552" w:hanging="360"/>
      </w:pPr>
    </w:lvl>
    <w:lvl w:ilvl="8" w:tplc="14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50D1292B"/>
    <w:multiLevelType w:val="hybridMultilevel"/>
    <w:tmpl w:val="1FA2FEFA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011FE"/>
    <w:multiLevelType w:val="hybridMultilevel"/>
    <w:tmpl w:val="D7987D14"/>
    <w:lvl w:ilvl="0" w:tplc="140A000F">
      <w:start w:val="1"/>
      <w:numFmt w:val="decimal"/>
      <w:lvlText w:val="%1."/>
      <w:lvlJc w:val="left"/>
      <w:pPr>
        <w:ind w:left="1766" w:hanging="360"/>
      </w:pPr>
    </w:lvl>
    <w:lvl w:ilvl="1" w:tplc="140A0019" w:tentative="1">
      <w:start w:val="1"/>
      <w:numFmt w:val="lowerLetter"/>
      <w:lvlText w:val="%2."/>
      <w:lvlJc w:val="left"/>
      <w:pPr>
        <w:ind w:left="2486" w:hanging="360"/>
      </w:pPr>
    </w:lvl>
    <w:lvl w:ilvl="2" w:tplc="140A001B" w:tentative="1">
      <w:start w:val="1"/>
      <w:numFmt w:val="lowerRoman"/>
      <w:lvlText w:val="%3."/>
      <w:lvlJc w:val="right"/>
      <w:pPr>
        <w:ind w:left="3206" w:hanging="180"/>
      </w:pPr>
    </w:lvl>
    <w:lvl w:ilvl="3" w:tplc="140A000F" w:tentative="1">
      <w:start w:val="1"/>
      <w:numFmt w:val="decimal"/>
      <w:lvlText w:val="%4."/>
      <w:lvlJc w:val="left"/>
      <w:pPr>
        <w:ind w:left="3926" w:hanging="360"/>
      </w:pPr>
    </w:lvl>
    <w:lvl w:ilvl="4" w:tplc="140A0019" w:tentative="1">
      <w:start w:val="1"/>
      <w:numFmt w:val="lowerLetter"/>
      <w:lvlText w:val="%5."/>
      <w:lvlJc w:val="left"/>
      <w:pPr>
        <w:ind w:left="4646" w:hanging="360"/>
      </w:pPr>
    </w:lvl>
    <w:lvl w:ilvl="5" w:tplc="140A001B" w:tentative="1">
      <w:start w:val="1"/>
      <w:numFmt w:val="lowerRoman"/>
      <w:lvlText w:val="%6."/>
      <w:lvlJc w:val="right"/>
      <w:pPr>
        <w:ind w:left="5366" w:hanging="180"/>
      </w:pPr>
    </w:lvl>
    <w:lvl w:ilvl="6" w:tplc="140A000F" w:tentative="1">
      <w:start w:val="1"/>
      <w:numFmt w:val="decimal"/>
      <w:lvlText w:val="%7."/>
      <w:lvlJc w:val="left"/>
      <w:pPr>
        <w:ind w:left="6086" w:hanging="360"/>
      </w:pPr>
    </w:lvl>
    <w:lvl w:ilvl="7" w:tplc="140A0019" w:tentative="1">
      <w:start w:val="1"/>
      <w:numFmt w:val="lowerLetter"/>
      <w:lvlText w:val="%8."/>
      <w:lvlJc w:val="left"/>
      <w:pPr>
        <w:ind w:left="6806" w:hanging="360"/>
      </w:pPr>
    </w:lvl>
    <w:lvl w:ilvl="8" w:tplc="140A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6" w15:restartNumberingAfterBreak="0">
    <w:nsid w:val="6E0F0509"/>
    <w:multiLevelType w:val="hybridMultilevel"/>
    <w:tmpl w:val="BC0CC87C"/>
    <w:lvl w:ilvl="0" w:tplc="140A000F">
      <w:start w:val="1"/>
      <w:numFmt w:val="decimal"/>
      <w:lvlText w:val="%1."/>
      <w:lvlJc w:val="left"/>
      <w:pPr>
        <w:ind w:left="1997" w:hanging="360"/>
      </w:pPr>
    </w:lvl>
    <w:lvl w:ilvl="1" w:tplc="140A0019" w:tentative="1">
      <w:start w:val="1"/>
      <w:numFmt w:val="lowerLetter"/>
      <w:lvlText w:val="%2."/>
      <w:lvlJc w:val="left"/>
      <w:pPr>
        <w:ind w:left="2717" w:hanging="360"/>
      </w:pPr>
    </w:lvl>
    <w:lvl w:ilvl="2" w:tplc="140A001B" w:tentative="1">
      <w:start w:val="1"/>
      <w:numFmt w:val="lowerRoman"/>
      <w:lvlText w:val="%3."/>
      <w:lvlJc w:val="right"/>
      <w:pPr>
        <w:ind w:left="3437" w:hanging="180"/>
      </w:pPr>
    </w:lvl>
    <w:lvl w:ilvl="3" w:tplc="140A000F" w:tentative="1">
      <w:start w:val="1"/>
      <w:numFmt w:val="decimal"/>
      <w:lvlText w:val="%4."/>
      <w:lvlJc w:val="left"/>
      <w:pPr>
        <w:ind w:left="4157" w:hanging="360"/>
      </w:pPr>
    </w:lvl>
    <w:lvl w:ilvl="4" w:tplc="140A0019" w:tentative="1">
      <w:start w:val="1"/>
      <w:numFmt w:val="lowerLetter"/>
      <w:lvlText w:val="%5."/>
      <w:lvlJc w:val="left"/>
      <w:pPr>
        <w:ind w:left="4877" w:hanging="360"/>
      </w:pPr>
    </w:lvl>
    <w:lvl w:ilvl="5" w:tplc="140A001B" w:tentative="1">
      <w:start w:val="1"/>
      <w:numFmt w:val="lowerRoman"/>
      <w:lvlText w:val="%6."/>
      <w:lvlJc w:val="right"/>
      <w:pPr>
        <w:ind w:left="5597" w:hanging="180"/>
      </w:pPr>
    </w:lvl>
    <w:lvl w:ilvl="6" w:tplc="140A000F" w:tentative="1">
      <w:start w:val="1"/>
      <w:numFmt w:val="decimal"/>
      <w:lvlText w:val="%7."/>
      <w:lvlJc w:val="left"/>
      <w:pPr>
        <w:ind w:left="6317" w:hanging="360"/>
      </w:pPr>
    </w:lvl>
    <w:lvl w:ilvl="7" w:tplc="140A0019" w:tentative="1">
      <w:start w:val="1"/>
      <w:numFmt w:val="lowerLetter"/>
      <w:lvlText w:val="%8."/>
      <w:lvlJc w:val="left"/>
      <w:pPr>
        <w:ind w:left="7037" w:hanging="360"/>
      </w:pPr>
    </w:lvl>
    <w:lvl w:ilvl="8" w:tplc="140A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7" w15:restartNumberingAfterBreak="0">
    <w:nsid w:val="6FBE2D27"/>
    <w:multiLevelType w:val="hybridMultilevel"/>
    <w:tmpl w:val="EF80B7F8"/>
    <w:lvl w:ilvl="0" w:tplc="140A000F">
      <w:start w:val="1"/>
      <w:numFmt w:val="decimal"/>
      <w:lvlText w:val="%1."/>
      <w:lvlJc w:val="left"/>
      <w:pPr>
        <w:ind w:left="1535" w:hanging="360"/>
      </w:pPr>
    </w:lvl>
    <w:lvl w:ilvl="1" w:tplc="140A0019" w:tentative="1">
      <w:start w:val="1"/>
      <w:numFmt w:val="lowerLetter"/>
      <w:lvlText w:val="%2."/>
      <w:lvlJc w:val="left"/>
      <w:pPr>
        <w:ind w:left="2255" w:hanging="360"/>
      </w:pPr>
    </w:lvl>
    <w:lvl w:ilvl="2" w:tplc="140A001B" w:tentative="1">
      <w:start w:val="1"/>
      <w:numFmt w:val="lowerRoman"/>
      <w:lvlText w:val="%3."/>
      <w:lvlJc w:val="right"/>
      <w:pPr>
        <w:ind w:left="2975" w:hanging="180"/>
      </w:pPr>
    </w:lvl>
    <w:lvl w:ilvl="3" w:tplc="140A000F" w:tentative="1">
      <w:start w:val="1"/>
      <w:numFmt w:val="decimal"/>
      <w:lvlText w:val="%4."/>
      <w:lvlJc w:val="left"/>
      <w:pPr>
        <w:ind w:left="3695" w:hanging="360"/>
      </w:pPr>
    </w:lvl>
    <w:lvl w:ilvl="4" w:tplc="140A0019" w:tentative="1">
      <w:start w:val="1"/>
      <w:numFmt w:val="lowerLetter"/>
      <w:lvlText w:val="%5."/>
      <w:lvlJc w:val="left"/>
      <w:pPr>
        <w:ind w:left="4415" w:hanging="360"/>
      </w:pPr>
    </w:lvl>
    <w:lvl w:ilvl="5" w:tplc="140A001B" w:tentative="1">
      <w:start w:val="1"/>
      <w:numFmt w:val="lowerRoman"/>
      <w:lvlText w:val="%6."/>
      <w:lvlJc w:val="right"/>
      <w:pPr>
        <w:ind w:left="5135" w:hanging="180"/>
      </w:pPr>
    </w:lvl>
    <w:lvl w:ilvl="6" w:tplc="140A000F" w:tentative="1">
      <w:start w:val="1"/>
      <w:numFmt w:val="decimal"/>
      <w:lvlText w:val="%7."/>
      <w:lvlJc w:val="left"/>
      <w:pPr>
        <w:ind w:left="5855" w:hanging="360"/>
      </w:pPr>
    </w:lvl>
    <w:lvl w:ilvl="7" w:tplc="140A0019" w:tentative="1">
      <w:start w:val="1"/>
      <w:numFmt w:val="lowerLetter"/>
      <w:lvlText w:val="%8."/>
      <w:lvlJc w:val="left"/>
      <w:pPr>
        <w:ind w:left="6575" w:hanging="360"/>
      </w:pPr>
    </w:lvl>
    <w:lvl w:ilvl="8" w:tplc="140A001B" w:tentative="1">
      <w:start w:val="1"/>
      <w:numFmt w:val="lowerRoman"/>
      <w:lvlText w:val="%9."/>
      <w:lvlJc w:val="right"/>
      <w:pPr>
        <w:ind w:left="729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BE5"/>
    <w:rsid w:val="000D10DC"/>
    <w:rsid w:val="000E7608"/>
    <w:rsid w:val="00100D62"/>
    <w:rsid w:val="001232C3"/>
    <w:rsid w:val="001335DF"/>
    <w:rsid w:val="001546EB"/>
    <w:rsid w:val="001B7362"/>
    <w:rsid w:val="001F27D1"/>
    <w:rsid w:val="001F4FA3"/>
    <w:rsid w:val="001F65FC"/>
    <w:rsid w:val="002858CD"/>
    <w:rsid w:val="00294171"/>
    <w:rsid w:val="00294BB7"/>
    <w:rsid w:val="00325545"/>
    <w:rsid w:val="00332DA1"/>
    <w:rsid w:val="003366C3"/>
    <w:rsid w:val="00371690"/>
    <w:rsid w:val="00382FC4"/>
    <w:rsid w:val="003A7A3B"/>
    <w:rsid w:val="00471446"/>
    <w:rsid w:val="00493526"/>
    <w:rsid w:val="004A6708"/>
    <w:rsid w:val="004D0CC8"/>
    <w:rsid w:val="004D2476"/>
    <w:rsid w:val="004D7D4C"/>
    <w:rsid w:val="005236F6"/>
    <w:rsid w:val="00593641"/>
    <w:rsid w:val="005B45BA"/>
    <w:rsid w:val="0060493A"/>
    <w:rsid w:val="00621BAB"/>
    <w:rsid w:val="00662B27"/>
    <w:rsid w:val="00672EB0"/>
    <w:rsid w:val="00684079"/>
    <w:rsid w:val="006A0DB4"/>
    <w:rsid w:val="006A7971"/>
    <w:rsid w:val="006B16BC"/>
    <w:rsid w:val="00723722"/>
    <w:rsid w:val="00723B05"/>
    <w:rsid w:val="00743E15"/>
    <w:rsid w:val="00770571"/>
    <w:rsid w:val="00781A7C"/>
    <w:rsid w:val="00791C82"/>
    <w:rsid w:val="007E2A74"/>
    <w:rsid w:val="007F587D"/>
    <w:rsid w:val="008359AF"/>
    <w:rsid w:val="008463B5"/>
    <w:rsid w:val="00850AFD"/>
    <w:rsid w:val="00886A43"/>
    <w:rsid w:val="00893667"/>
    <w:rsid w:val="008A2FDD"/>
    <w:rsid w:val="008E0BE5"/>
    <w:rsid w:val="008E6554"/>
    <w:rsid w:val="009165E1"/>
    <w:rsid w:val="00946C1B"/>
    <w:rsid w:val="009A4413"/>
    <w:rsid w:val="009D11CF"/>
    <w:rsid w:val="00A15235"/>
    <w:rsid w:val="00A27E9F"/>
    <w:rsid w:val="00A32302"/>
    <w:rsid w:val="00A471ED"/>
    <w:rsid w:val="00A50603"/>
    <w:rsid w:val="00A85348"/>
    <w:rsid w:val="00AA6D79"/>
    <w:rsid w:val="00AB356C"/>
    <w:rsid w:val="00B239E1"/>
    <w:rsid w:val="00B70836"/>
    <w:rsid w:val="00B77D09"/>
    <w:rsid w:val="00BA4F04"/>
    <w:rsid w:val="00C31779"/>
    <w:rsid w:val="00C40BE7"/>
    <w:rsid w:val="00CA4235"/>
    <w:rsid w:val="00CC1615"/>
    <w:rsid w:val="00D05206"/>
    <w:rsid w:val="00D263A3"/>
    <w:rsid w:val="00D34030"/>
    <w:rsid w:val="00D635E9"/>
    <w:rsid w:val="00D63CCC"/>
    <w:rsid w:val="00D9116F"/>
    <w:rsid w:val="00DA1ED2"/>
    <w:rsid w:val="00DB33FA"/>
    <w:rsid w:val="00DD3561"/>
    <w:rsid w:val="00E1454B"/>
    <w:rsid w:val="00E24534"/>
    <w:rsid w:val="00E35302"/>
    <w:rsid w:val="00E53B51"/>
    <w:rsid w:val="00E97F54"/>
    <w:rsid w:val="00EF1BF8"/>
    <w:rsid w:val="00F21725"/>
    <w:rsid w:val="00F364D9"/>
    <w:rsid w:val="00F4553E"/>
    <w:rsid w:val="00F52203"/>
    <w:rsid w:val="00F878D5"/>
    <w:rsid w:val="00FA1B74"/>
    <w:rsid w:val="00FE17ED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9E9B87"/>
  <w15:docId w15:val="{83DC92E5-DDB1-41DB-BA35-CFC1737E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7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8D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878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78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78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8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8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906EA-DA15-4249-8F8B-11598DE2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Magalys Quintana Tuñón</dc:creator>
  <cp:lastModifiedBy>Fátima Navarro</cp:lastModifiedBy>
  <cp:revision>6</cp:revision>
  <cp:lastPrinted>2018-01-15T21:32:00Z</cp:lastPrinted>
  <dcterms:created xsi:type="dcterms:W3CDTF">2018-01-18T19:51:00Z</dcterms:created>
  <dcterms:modified xsi:type="dcterms:W3CDTF">2018-12-28T14:20:00Z</dcterms:modified>
</cp:coreProperties>
</file>