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71446" w:rsidRPr="009527E1" w14:paraId="52FD7B24" w14:textId="77777777" w:rsidTr="00EB7BC7">
        <w:tc>
          <w:tcPr>
            <w:tcW w:w="8978" w:type="dxa"/>
            <w:shd w:val="clear" w:color="auto" w:fill="C2D69B" w:themeFill="accent3" w:themeFillTint="99"/>
          </w:tcPr>
          <w:p w14:paraId="7788B7BB" w14:textId="77777777" w:rsidR="00471446" w:rsidRPr="009527E1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27E1">
              <w:rPr>
                <w:rFonts w:cstheme="minorHAnsi"/>
                <w:b/>
                <w:sz w:val="24"/>
                <w:szCs w:val="24"/>
              </w:rPr>
              <w:t>Objetivo</w:t>
            </w:r>
          </w:p>
        </w:tc>
      </w:tr>
      <w:tr w:rsidR="00471446" w:rsidRPr="009527E1" w14:paraId="395490F9" w14:textId="77777777" w:rsidTr="00DF764A">
        <w:tc>
          <w:tcPr>
            <w:tcW w:w="8978" w:type="dxa"/>
            <w:tcBorders>
              <w:bottom w:val="dotted" w:sz="4" w:space="0" w:color="auto"/>
            </w:tcBorders>
          </w:tcPr>
          <w:p w14:paraId="6169F7CE" w14:textId="77777777" w:rsidR="00471446" w:rsidRPr="009527E1" w:rsidRDefault="0022750B" w:rsidP="00471446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527E1">
              <w:rPr>
                <w:rFonts w:cstheme="minorHAnsi"/>
                <w:i/>
                <w:sz w:val="24"/>
                <w:szCs w:val="24"/>
              </w:rPr>
              <w:t xml:space="preserve">Establecer el proceso requerido para salvaguardar toda la información </w:t>
            </w:r>
            <w:r w:rsidR="007C2CD4" w:rsidRPr="009527E1">
              <w:rPr>
                <w:rFonts w:cstheme="minorHAnsi"/>
                <w:i/>
                <w:sz w:val="24"/>
                <w:szCs w:val="24"/>
              </w:rPr>
              <w:t xml:space="preserve">a disposición del CNBI, ya sea </w:t>
            </w:r>
            <w:proofErr w:type="gramStart"/>
            <w:r w:rsidR="007C2CD4" w:rsidRPr="009527E1">
              <w:rPr>
                <w:rFonts w:cstheme="minorHAnsi"/>
                <w:i/>
                <w:sz w:val="24"/>
                <w:szCs w:val="24"/>
              </w:rPr>
              <w:t>ésta</w:t>
            </w:r>
            <w:proofErr w:type="gramEnd"/>
            <w:r w:rsidR="007C2CD4" w:rsidRPr="009527E1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9527E1">
              <w:rPr>
                <w:rFonts w:cstheme="minorHAnsi"/>
                <w:i/>
                <w:sz w:val="24"/>
                <w:szCs w:val="24"/>
              </w:rPr>
              <w:t>necesaria</w:t>
            </w:r>
            <w:r w:rsidR="007C2CD4" w:rsidRPr="009527E1">
              <w:rPr>
                <w:rFonts w:cstheme="minorHAnsi"/>
                <w:i/>
                <w:sz w:val="24"/>
                <w:szCs w:val="24"/>
              </w:rPr>
              <w:t xml:space="preserve"> para su funcionamiento, relacionada con sus funciones o perteneciente a los protocolos de investigación enviados para su revisión y/o aprobación.</w:t>
            </w:r>
          </w:p>
        </w:tc>
      </w:tr>
      <w:tr w:rsidR="00471446" w:rsidRPr="009527E1" w14:paraId="4F28D3F4" w14:textId="77777777" w:rsidTr="00DF764A">
        <w:tc>
          <w:tcPr>
            <w:tcW w:w="8978" w:type="dxa"/>
            <w:tcBorders>
              <w:bottom w:val="nil"/>
            </w:tcBorders>
            <w:shd w:val="clear" w:color="auto" w:fill="C2D69B" w:themeFill="accent3" w:themeFillTint="99"/>
          </w:tcPr>
          <w:p w14:paraId="7C4A72F3" w14:textId="77777777" w:rsidR="00471446" w:rsidRPr="009527E1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27E1">
              <w:rPr>
                <w:rFonts w:cstheme="minorHAnsi"/>
                <w:b/>
                <w:sz w:val="24"/>
                <w:szCs w:val="24"/>
              </w:rPr>
              <w:t>Alcance</w:t>
            </w:r>
          </w:p>
        </w:tc>
      </w:tr>
      <w:tr w:rsidR="00471446" w:rsidRPr="009527E1" w14:paraId="0C9A4B38" w14:textId="77777777" w:rsidTr="00DF764A">
        <w:tc>
          <w:tcPr>
            <w:tcW w:w="8978" w:type="dxa"/>
            <w:tcBorders>
              <w:top w:val="nil"/>
            </w:tcBorders>
          </w:tcPr>
          <w:p w14:paraId="6C582542" w14:textId="77777777" w:rsidR="00471446" w:rsidRPr="009527E1" w:rsidRDefault="007C2CD4" w:rsidP="00471446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527E1">
              <w:rPr>
                <w:rFonts w:cstheme="minorHAnsi"/>
                <w:i/>
                <w:sz w:val="24"/>
                <w:szCs w:val="24"/>
              </w:rPr>
              <w:t xml:space="preserve">Se aplicará a todos los documentos que emanen del CNBI o sean enviados en formato físico o digital de segundas fuentes al CNBI, independiente del motivo. </w:t>
            </w:r>
          </w:p>
        </w:tc>
      </w:tr>
    </w:tbl>
    <w:p w14:paraId="164448BC" w14:textId="77777777" w:rsidR="00471446" w:rsidRPr="009527E1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54A72046" w14:textId="77777777" w:rsidR="00A85348" w:rsidRPr="009527E1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6064"/>
      </w:tblGrid>
      <w:tr w:rsidR="00471446" w:rsidRPr="009527E1" w14:paraId="24621795" w14:textId="77777777" w:rsidTr="00DA1F46">
        <w:tc>
          <w:tcPr>
            <w:tcW w:w="8828" w:type="dxa"/>
            <w:gridSpan w:val="2"/>
            <w:shd w:val="clear" w:color="auto" w:fill="C2D69B" w:themeFill="accent3" w:themeFillTint="99"/>
          </w:tcPr>
          <w:p w14:paraId="2A8DFE50" w14:textId="77777777" w:rsidR="00471446" w:rsidRPr="009527E1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27E1">
              <w:rPr>
                <w:rFonts w:cstheme="minorHAnsi"/>
                <w:b/>
                <w:sz w:val="24"/>
                <w:szCs w:val="24"/>
              </w:rPr>
              <w:t>Definiciones</w:t>
            </w:r>
          </w:p>
        </w:tc>
      </w:tr>
      <w:tr w:rsidR="0006526C" w:rsidRPr="009527E1" w14:paraId="6EE705B7" w14:textId="77777777" w:rsidTr="00DA1F46">
        <w:tc>
          <w:tcPr>
            <w:tcW w:w="2764" w:type="dxa"/>
          </w:tcPr>
          <w:p w14:paraId="622F84C5" w14:textId="77777777" w:rsidR="00471446" w:rsidRPr="009527E1" w:rsidRDefault="0006526C" w:rsidP="00471446">
            <w:pPr>
              <w:rPr>
                <w:rFonts w:cstheme="minorHAnsi"/>
                <w:i/>
                <w:sz w:val="24"/>
                <w:szCs w:val="24"/>
              </w:rPr>
            </w:pPr>
            <w:r w:rsidRPr="009527E1">
              <w:rPr>
                <w:rFonts w:cstheme="minorHAnsi"/>
                <w:i/>
                <w:sz w:val="24"/>
                <w:szCs w:val="24"/>
              </w:rPr>
              <w:t>Documentos esenciales</w:t>
            </w:r>
          </w:p>
        </w:tc>
        <w:tc>
          <w:tcPr>
            <w:tcW w:w="6064" w:type="dxa"/>
          </w:tcPr>
          <w:p w14:paraId="54056B02" w14:textId="77777777" w:rsidR="00471446" w:rsidRPr="009527E1" w:rsidRDefault="0006526C" w:rsidP="0006526C">
            <w:pPr>
              <w:pStyle w:val="Sangranormal"/>
              <w:rPr>
                <w:rFonts w:asciiTheme="minorHAnsi" w:hAnsiTheme="minorHAnsi" w:cstheme="minorHAnsi"/>
                <w:sz w:val="24"/>
                <w:szCs w:val="24"/>
                <w:lang w:val="es-PA"/>
              </w:rPr>
            </w:pPr>
            <w:r w:rsidRPr="009527E1">
              <w:rPr>
                <w:rFonts w:asciiTheme="minorHAnsi" w:hAnsiTheme="minorHAnsi" w:cstheme="minorHAnsi"/>
                <w:sz w:val="24"/>
                <w:szCs w:val="24"/>
                <w:lang w:val="es-PA"/>
              </w:rPr>
              <w:t>Son aquellos documentos que de manera individual o colectiva permiten la evaluación de la conducción de un estudio y la calidad de los datos producidos. Incluyen los documentos fuentes y los Formularios de Reportes de Caso (CRF).</w:t>
            </w:r>
          </w:p>
        </w:tc>
      </w:tr>
      <w:tr w:rsidR="00DA1F46" w:rsidRPr="009527E1" w14:paraId="66253FD6" w14:textId="77777777" w:rsidTr="00DA1F46">
        <w:tc>
          <w:tcPr>
            <w:tcW w:w="2764" w:type="dxa"/>
          </w:tcPr>
          <w:p w14:paraId="2FD31D17" w14:textId="77777777" w:rsidR="00DA1F46" w:rsidRPr="009527E1" w:rsidRDefault="00DA1F46" w:rsidP="00DA1F46">
            <w:pPr>
              <w:rPr>
                <w:rFonts w:cstheme="minorHAnsi"/>
                <w:i/>
                <w:sz w:val="24"/>
                <w:szCs w:val="24"/>
              </w:rPr>
            </w:pPr>
            <w:r w:rsidRPr="009527E1">
              <w:rPr>
                <w:rFonts w:cstheme="minorHAnsi"/>
                <w:i/>
                <w:sz w:val="24"/>
                <w:szCs w:val="24"/>
              </w:rPr>
              <w:t>Documentos fuentes</w:t>
            </w:r>
          </w:p>
        </w:tc>
        <w:tc>
          <w:tcPr>
            <w:tcW w:w="6064" w:type="dxa"/>
          </w:tcPr>
          <w:p w14:paraId="510FCC81" w14:textId="77777777" w:rsidR="00DA1F46" w:rsidRPr="009527E1" w:rsidRDefault="00DA1F46" w:rsidP="00DA1F46">
            <w:pPr>
              <w:pStyle w:val="Sangranormal"/>
              <w:rPr>
                <w:rFonts w:asciiTheme="minorHAnsi" w:hAnsiTheme="minorHAnsi" w:cstheme="minorHAnsi"/>
                <w:sz w:val="24"/>
                <w:szCs w:val="24"/>
                <w:lang w:val="es-PA"/>
              </w:rPr>
            </w:pPr>
            <w:r w:rsidRPr="009527E1">
              <w:rPr>
                <w:rFonts w:asciiTheme="minorHAnsi" w:hAnsiTheme="minorHAnsi" w:cstheme="minorHAnsi"/>
                <w:sz w:val="24"/>
                <w:szCs w:val="24"/>
                <w:lang w:val="es-PA"/>
              </w:rPr>
              <w:t xml:space="preserve">Son los documentos originales, datos y registros (archivos clínicos, hospitalarios, de oficina, laboratorios, memorandos, diarios de sujetos o listas de cotejo, reportes de dispensarios de farmacia, copias o transcripciones certificadas como fiel copia del original, microfichas, negativos de fotografía, </w:t>
            </w:r>
            <w:proofErr w:type="spellStart"/>
            <w:r w:rsidRPr="009527E1">
              <w:rPr>
                <w:rFonts w:asciiTheme="minorHAnsi" w:hAnsiTheme="minorHAnsi" w:cstheme="minorHAnsi"/>
                <w:sz w:val="24"/>
                <w:szCs w:val="24"/>
                <w:lang w:val="es-PA"/>
              </w:rPr>
              <w:t>microfilminas</w:t>
            </w:r>
            <w:proofErr w:type="spellEnd"/>
            <w:r w:rsidRPr="009527E1">
              <w:rPr>
                <w:rFonts w:asciiTheme="minorHAnsi" w:hAnsiTheme="minorHAnsi" w:cstheme="minorHAnsi"/>
                <w:sz w:val="24"/>
                <w:szCs w:val="24"/>
                <w:lang w:val="es-PA"/>
              </w:rPr>
              <w:t xml:space="preserve"> u otros medios magnéticos, rayos-X, archivos de sujetos y cualquier otro documento archivado en la farmacia, laboratorio u otro departamento médico-técnico involucrado en el estudio clínico).</w:t>
            </w:r>
          </w:p>
        </w:tc>
      </w:tr>
      <w:tr w:rsidR="00DA1F46" w:rsidRPr="009527E1" w14:paraId="1B66E3B8" w14:textId="77777777" w:rsidTr="00DA1F46">
        <w:tc>
          <w:tcPr>
            <w:tcW w:w="2764" w:type="dxa"/>
          </w:tcPr>
          <w:p w14:paraId="3E0EDFD1" w14:textId="77777777" w:rsidR="00DA1F46" w:rsidRPr="009527E1" w:rsidRDefault="00D107F9" w:rsidP="00471446">
            <w:pPr>
              <w:rPr>
                <w:rFonts w:cstheme="minorHAnsi"/>
                <w:i/>
                <w:sz w:val="24"/>
                <w:szCs w:val="24"/>
                <w:lang w:val="es-PA"/>
              </w:rPr>
            </w:pPr>
            <w:r w:rsidRPr="009527E1">
              <w:rPr>
                <w:rFonts w:cstheme="minorHAnsi"/>
                <w:i/>
                <w:sz w:val="24"/>
                <w:szCs w:val="24"/>
                <w:lang w:val="es-PA"/>
              </w:rPr>
              <w:t>Formulario de reporte de caso</w:t>
            </w:r>
          </w:p>
        </w:tc>
        <w:tc>
          <w:tcPr>
            <w:tcW w:w="6064" w:type="dxa"/>
          </w:tcPr>
          <w:p w14:paraId="5BAD1E0E" w14:textId="77777777" w:rsidR="00DA1F46" w:rsidRPr="009527E1" w:rsidRDefault="00D107F9" w:rsidP="005237B8">
            <w:pPr>
              <w:pStyle w:val="Sangranormal"/>
              <w:rPr>
                <w:rFonts w:asciiTheme="minorHAnsi" w:hAnsiTheme="minorHAnsi" w:cstheme="minorHAnsi"/>
                <w:sz w:val="24"/>
                <w:szCs w:val="24"/>
                <w:lang w:val="es-PA"/>
              </w:rPr>
            </w:pPr>
            <w:r w:rsidRPr="009527E1">
              <w:rPr>
                <w:rFonts w:asciiTheme="minorHAnsi" w:hAnsiTheme="minorHAnsi" w:cstheme="minorHAnsi"/>
                <w:sz w:val="24"/>
                <w:szCs w:val="24"/>
                <w:lang w:val="es-PA"/>
              </w:rPr>
              <w:t xml:space="preserve">Un documento impreso, óptico o eléctrico </w:t>
            </w:r>
            <w:r w:rsidR="005237B8" w:rsidRPr="009527E1">
              <w:rPr>
                <w:rFonts w:asciiTheme="minorHAnsi" w:hAnsiTheme="minorHAnsi" w:cstheme="minorHAnsi"/>
                <w:sz w:val="24"/>
                <w:szCs w:val="24"/>
                <w:lang w:val="es-PA"/>
              </w:rPr>
              <w:t>designado para llevar el registro de toda la información requerida por el protocolo en cada sujeto de estudio.</w:t>
            </w:r>
          </w:p>
        </w:tc>
      </w:tr>
    </w:tbl>
    <w:p w14:paraId="553ABB25" w14:textId="77777777" w:rsidR="00471446" w:rsidRPr="009527E1" w:rsidRDefault="00471446" w:rsidP="00471446">
      <w:pPr>
        <w:spacing w:after="0" w:line="240" w:lineRule="auto"/>
        <w:rPr>
          <w:rFonts w:cstheme="minorHAnsi"/>
          <w:sz w:val="24"/>
          <w:szCs w:val="24"/>
          <w:lang w:val="es-PA"/>
        </w:rPr>
      </w:pPr>
    </w:p>
    <w:p w14:paraId="492A6836" w14:textId="77777777" w:rsidR="00A85348" w:rsidRPr="009527E1" w:rsidRDefault="00A85348" w:rsidP="00471446">
      <w:pPr>
        <w:spacing w:after="0" w:line="240" w:lineRule="auto"/>
        <w:rPr>
          <w:rFonts w:cstheme="minorHAnsi"/>
          <w:sz w:val="24"/>
          <w:szCs w:val="24"/>
          <w:lang w:val="es-PA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6905"/>
      </w:tblGrid>
      <w:tr w:rsidR="00471446" w:rsidRPr="009527E1" w14:paraId="672BE852" w14:textId="77777777" w:rsidTr="00940200">
        <w:tc>
          <w:tcPr>
            <w:tcW w:w="8828" w:type="dxa"/>
            <w:gridSpan w:val="2"/>
            <w:shd w:val="clear" w:color="auto" w:fill="C2D69B" w:themeFill="accent3" w:themeFillTint="99"/>
          </w:tcPr>
          <w:p w14:paraId="7AECBD6D" w14:textId="77777777" w:rsidR="00471446" w:rsidRPr="009527E1" w:rsidRDefault="00471446" w:rsidP="005341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27E1">
              <w:rPr>
                <w:rFonts w:cstheme="minorHAnsi"/>
                <w:b/>
                <w:sz w:val="24"/>
                <w:szCs w:val="24"/>
              </w:rPr>
              <w:t>Responsabilidades</w:t>
            </w:r>
          </w:p>
        </w:tc>
      </w:tr>
      <w:tr w:rsidR="00940200" w:rsidRPr="009527E1" w14:paraId="68E8CAAA" w14:textId="77777777" w:rsidTr="00940200">
        <w:tc>
          <w:tcPr>
            <w:tcW w:w="1923" w:type="dxa"/>
          </w:tcPr>
          <w:p w14:paraId="1A7C7705" w14:textId="77777777" w:rsidR="00940200" w:rsidRPr="009527E1" w:rsidRDefault="00940200" w:rsidP="00940200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527E1">
              <w:rPr>
                <w:rFonts w:cstheme="minorHAnsi"/>
                <w:i/>
                <w:sz w:val="24"/>
                <w:szCs w:val="24"/>
              </w:rPr>
              <w:t>Secretar</w:t>
            </w:r>
            <w:r w:rsidR="004F6BCA" w:rsidRPr="009527E1">
              <w:rPr>
                <w:rFonts w:cstheme="minorHAnsi"/>
                <w:i/>
                <w:sz w:val="24"/>
                <w:szCs w:val="24"/>
              </w:rPr>
              <w:t>i</w:t>
            </w:r>
            <w:r w:rsidRPr="009527E1">
              <w:rPr>
                <w:rFonts w:cstheme="minorHAnsi"/>
                <w:i/>
                <w:sz w:val="24"/>
                <w:szCs w:val="24"/>
              </w:rPr>
              <w:t>a Técnica</w:t>
            </w:r>
          </w:p>
        </w:tc>
        <w:tc>
          <w:tcPr>
            <w:tcW w:w="6905" w:type="dxa"/>
          </w:tcPr>
          <w:p w14:paraId="5A50CB60" w14:textId="60111825" w:rsidR="009527E1" w:rsidRPr="009527E1" w:rsidRDefault="00940200" w:rsidP="009527E1">
            <w:pPr>
              <w:spacing w:before="120" w:line="360" w:lineRule="auto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9527E1">
              <w:rPr>
                <w:rFonts w:cstheme="minorHAnsi"/>
                <w:sz w:val="24"/>
                <w:szCs w:val="24"/>
              </w:rPr>
              <w:t>Responsable p</w:t>
            </w:r>
            <w:r w:rsidR="004F6BCA" w:rsidRPr="009527E1">
              <w:rPr>
                <w:rFonts w:cstheme="minorHAnsi"/>
                <w:sz w:val="24"/>
                <w:szCs w:val="24"/>
              </w:rPr>
              <w:t xml:space="preserve">or parte del CNBI de archivar todos los documentos esenciales de cada protocolo de investigación sometido al CNBI para </w:t>
            </w:r>
            <w:r w:rsidR="004F6BCA" w:rsidRPr="009527E1">
              <w:rPr>
                <w:rFonts w:cstheme="minorHAnsi"/>
                <w:sz w:val="24"/>
                <w:szCs w:val="24"/>
              </w:rPr>
              <w:lastRenderedPageBreak/>
              <w:t>evaluación</w:t>
            </w:r>
            <w:r w:rsidR="009527E1" w:rsidRPr="009527E1">
              <w:rPr>
                <w:rFonts w:cstheme="minorHAnsi"/>
                <w:sz w:val="24"/>
                <w:szCs w:val="24"/>
              </w:rPr>
              <w:t xml:space="preserve"> y</w:t>
            </w:r>
            <w:r w:rsidR="004F6BCA" w:rsidRPr="009527E1">
              <w:rPr>
                <w:rFonts w:cstheme="minorHAnsi"/>
                <w:sz w:val="24"/>
                <w:szCs w:val="24"/>
              </w:rPr>
              <w:t xml:space="preserve"> </w:t>
            </w:r>
            <w:r w:rsidR="009527E1" w:rsidRPr="009527E1">
              <w:rPr>
                <w:rFonts w:cstheme="minorHAnsi"/>
                <w:sz w:val="24"/>
                <w:szCs w:val="24"/>
                <w:lang w:val="es-ES_tradnl"/>
              </w:rPr>
              <w:t xml:space="preserve">custodiar todos los documentos esenciales de cada protocolo de investigación sometido al CNBI para evaluación. </w:t>
            </w:r>
          </w:p>
          <w:p w14:paraId="33EEBD81" w14:textId="77777777" w:rsidR="00940200" w:rsidRPr="009527E1" w:rsidRDefault="00940200" w:rsidP="0094020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F1D5E" w:rsidRPr="009527E1" w14:paraId="46BB8ED6" w14:textId="77777777" w:rsidTr="00940200">
        <w:tc>
          <w:tcPr>
            <w:tcW w:w="1923" w:type="dxa"/>
          </w:tcPr>
          <w:p w14:paraId="45B3BC91" w14:textId="77777777" w:rsidR="00AF1D5E" w:rsidRPr="009527E1" w:rsidRDefault="00AF1D5E" w:rsidP="00940200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527E1">
              <w:rPr>
                <w:rFonts w:cstheme="minorHAnsi"/>
                <w:i/>
                <w:sz w:val="24"/>
                <w:szCs w:val="24"/>
              </w:rPr>
              <w:lastRenderedPageBreak/>
              <w:t>Presidente del CNBI</w:t>
            </w:r>
          </w:p>
        </w:tc>
        <w:tc>
          <w:tcPr>
            <w:tcW w:w="6905" w:type="dxa"/>
          </w:tcPr>
          <w:p w14:paraId="1B55D43B" w14:textId="77777777" w:rsidR="00AF1D5E" w:rsidRPr="009527E1" w:rsidRDefault="00AF1D5E" w:rsidP="00AF1D5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527E1">
              <w:rPr>
                <w:rFonts w:cstheme="minorHAnsi"/>
                <w:sz w:val="24"/>
                <w:szCs w:val="24"/>
              </w:rPr>
              <w:t>Responsable de salvaguardar la confidencialidad de los documentos esenciales archivados. Solo con su visto bueno se puede tener acceso a los mismos.</w:t>
            </w:r>
          </w:p>
        </w:tc>
      </w:tr>
    </w:tbl>
    <w:p w14:paraId="24637273" w14:textId="77777777" w:rsidR="00A85348" w:rsidRPr="009527E1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71446" w:rsidRPr="009527E1" w14:paraId="723BBDF2" w14:textId="77777777" w:rsidTr="00DF764A">
        <w:tc>
          <w:tcPr>
            <w:tcW w:w="8978" w:type="dxa"/>
            <w:shd w:val="clear" w:color="auto" w:fill="C2D69B" w:themeFill="accent3" w:themeFillTint="99"/>
          </w:tcPr>
          <w:p w14:paraId="162A5CED" w14:textId="77777777" w:rsidR="00471446" w:rsidRPr="009527E1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27E1">
              <w:rPr>
                <w:rFonts w:cstheme="minorHAnsi"/>
                <w:b/>
                <w:sz w:val="24"/>
                <w:szCs w:val="24"/>
              </w:rPr>
              <w:t>Descripción del procedimiento</w:t>
            </w:r>
          </w:p>
        </w:tc>
      </w:tr>
      <w:tr w:rsidR="00471446" w:rsidRPr="009527E1" w14:paraId="6E615644" w14:textId="77777777" w:rsidTr="00471446">
        <w:tc>
          <w:tcPr>
            <w:tcW w:w="8978" w:type="dxa"/>
          </w:tcPr>
          <w:p w14:paraId="78F2E28C" w14:textId="77777777" w:rsidR="00684079" w:rsidRPr="009527E1" w:rsidRDefault="001B0DDB" w:rsidP="000E1EF7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i/>
                <w:sz w:val="24"/>
                <w:szCs w:val="24"/>
              </w:rPr>
            </w:pPr>
            <w:r w:rsidRPr="009527E1">
              <w:rPr>
                <w:rFonts w:cstheme="minorHAnsi"/>
                <w:b/>
                <w:i/>
                <w:sz w:val="24"/>
                <w:szCs w:val="24"/>
              </w:rPr>
              <w:t>¿Qué archivar?</w:t>
            </w:r>
          </w:p>
          <w:p w14:paraId="18EA1BF5" w14:textId="77777777" w:rsidR="00F364D9" w:rsidRPr="009527E1" w:rsidRDefault="001B0DDB" w:rsidP="00A37012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527E1">
              <w:rPr>
                <w:rFonts w:cstheme="minorHAnsi"/>
                <w:i/>
                <w:sz w:val="24"/>
                <w:szCs w:val="24"/>
              </w:rPr>
              <w:t xml:space="preserve">Todos los documentos esenciales deben ser archivados </w:t>
            </w:r>
            <w:r w:rsidR="00B92182" w:rsidRPr="009527E1">
              <w:rPr>
                <w:rFonts w:cstheme="minorHAnsi"/>
                <w:i/>
                <w:sz w:val="24"/>
                <w:szCs w:val="24"/>
              </w:rPr>
              <w:t xml:space="preserve">(documentos fuente y </w:t>
            </w:r>
            <w:proofErr w:type="spellStart"/>
            <w:r w:rsidR="00B92182" w:rsidRPr="009527E1">
              <w:rPr>
                <w:rFonts w:cstheme="minorHAnsi"/>
                <w:i/>
                <w:sz w:val="24"/>
                <w:szCs w:val="24"/>
              </w:rPr>
              <w:t>CRF’s</w:t>
            </w:r>
            <w:proofErr w:type="spellEnd"/>
            <w:r w:rsidR="00B92182" w:rsidRPr="009527E1">
              <w:rPr>
                <w:rFonts w:cstheme="minorHAnsi"/>
                <w:i/>
                <w:sz w:val="24"/>
                <w:szCs w:val="24"/>
              </w:rPr>
              <w:t>) una vez el estudio sometido a evaluación del CNBI se ha completado (el estudio ha pasado por una visita de cierre, se ha entregado el reporte de cierre y se ha aceptado</w:t>
            </w:r>
            <w:r w:rsidR="000E1EF7" w:rsidRPr="009527E1">
              <w:rPr>
                <w:rFonts w:cstheme="minorHAnsi"/>
                <w:i/>
                <w:sz w:val="24"/>
                <w:szCs w:val="24"/>
              </w:rPr>
              <w:t xml:space="preserve"> el reporte de cierre).</w:t>
            </w:r>
          </w:p>
          <w:p w14:paraId="683F4CA9" w14:textId="77777777" w:rsidR="00F364D9" w:rsidRPr="009527E1" w:rsidRDefault="00F364D9" w:rsidP="00F364D9">
            <w:pPr>
              <w:pStyle w:val="Prrafodelista"/>
              <w:ind w:left="792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5F6CD43F" w14:textId="77777777" w:rsidR="00684079" w:rsidRPr="009527E1" w:rsidRDefault="00A37012" w:rsidP="000E1EF7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i/>
                <w:sz w:val="24"/>
                <w:szCs w:val="24"/>
              </w:rPr>
            </w:pPr>
            <w:r w:rsidRPr="009527E1">
              <w:rPr>
                <w:rFonts w:cstheme="minorHAnsi"/>
                <w:b/>
                <w:i/>
                <w:sz w:val="24"/>
                <w:szCs w:val="24"/>
              </w:rPr>
              <w:t>¿Cuánto tiempo archivar?</w:t>
            </w:r>
          </w:p>
          <w:p w14:paraId="6D176175" w14:textId="330E00E4" w:rsidR="000E1EF7" w:rsidRPr="009527E1" w:rsidRDefault="00A37012" w:rsidP="00A37012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527E1">
              <w:rPr>
                <w:rFonts w:cstheme="minorHAnsi"/>
                <w:i/>
                <w:sz w:val="24"/>
                <w:szCs w:val="24"/>
              </w:rPr>
              <w:t>Todos los documentos esenciales ligados a una investigación evaluada</w:t>
            </w:r>
            <w:r w:rsidR="000E1EF7" w:rsidRPr="009527E1">
              <w:rPr>
                <w:rFonts w:cstheme="minorHAnsi"/>
                <w:i/>
                <w:sz w:val="24"/>
                <w:szCs w:val="24"/>
              </w:rPr>
              <w:t xml:space="preserve"> por el CNBI deben ser archivado</w:t>
            </w:r>
            <w:r w:rsidRPr="009527E1">
              <w:rPr>
                <w:rFonts w:cstheme="minorHAnsi"/>
                <w:i/>
                <w:sz w:val="24"/>
                <w:szCs w:val="24"/>
              </w:rPr>
              <w:t xml:space="preserve">s por al menos </w:t>
            </w:r>
            <w:r w:rsidR="009527E1" w:rsidRPr="009527E1">
              <w:rPr>
                <w:rFonts w:cstheme="minorHAnsi"/>
                <w:i/>
                <w:sz w:val="24"/>
                <w:szCs w:val="24"/>
              </w:rPr>
              <w:t>cinco</w:t>
            </w:r>
            <w:r w:rsidRPr="009527E1">
              <w:rPr>
                <w:rFonts w:cstheme="minorHAnsi"/>
                <w:i/>
                <w:sz w:val="24"/>
                <w:szCs w:val="24"/>
              </w:rPr>
              <w:t xml:space="preserve"> años (</w:t>
            </w:r>
            <w:r w:rsidR="009527E1" w:rsidRPr="009527E1">
              <w:rPr>
                <w:rFonts w:cstheme="minorHAnsi"/>
                <w:i/>
                <w:sz w:val="24"/>
                <w:szCs w:val="24"/>
              </w:rPr>
              <w:t>5</w:t>
            </w:r>
            <w:r w:rsidRPr="009527E1">
              <w:rPr>
                <w:rFonts w:cstheme="minorHAnsi"/>
                <w:i/>
                <w:sz w:val="24"/>
                <w:szCs w:val="24"/>
              </w:rPr>
              <w:t xml:space="preserve"> años), junto con todo el resto de la documentación pertinente al estudio en una carpeta designada para este fin</w:t>
            </w:r>
            <w:r w:rsidR="000E1EF7" w:rsidRPr="009527E1">
              <w:rPr>
                <w:rFonts w:cstheme="minorHAnsi"/>
                <w:i/>
                <w:sz w:val="24"/>
                <w:szCs w:val="24"/>
              </w:rPr>
              <w:t>. La fecha de terminación del estudio debe ser documentada.</w:t>
            </w:r>
          </w:p>
          <w:p w14:paraId="3502A6E9" w14:textId="77777777" w:rsidR="000E1EF7" w:rsidRPr="009527E1" w:rsidRDefault="000E1EF7" w:rsidP="000E1EF7">
            <w:pPr>
              <w:pStyle w:val="Prrafodelista"/>
              <w:ind w:left="792"/>
              <w:jc w:val="both"/>
              <w:rPr>
                <w:rFonts w:cstheme="minorHAnsi"/>
                <w:sz w:val="24"/>
                <w:szCs w:val="24"/>
              </w:rPr>
            </w:pPr>
          </w:p>
          <w:p w14:paraId="41CA1794" w14:textId="77777777" w:rsidR="000E1EF7" w:rsidRPr="009527E1" w:rsidRDefault="000E1EF7" w:rsidP="000E1EF7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527E1">
              <w:rPr>
                <w:rFonts w:cstheme="minorHAnsi"/>
                <w:b/>
                <w:i/>
                <w:sz w:val="24"/>
                <w:szCs w:val="24"/>
              </w:rPr>
              <w:t>¿Cómo archivar?</w:t>
            </w:r>
            <w:r w:rsidR="00A37012" w:rsidRPr="009527E1">
              <w:rPr>
                <w:rFonts w:cstheme="minorHAnsi"/>
                <w:i/>
                <w:sz w:val="24"/>
                <w:szCs w:val="24"/>
              </w:rPr>
              <w:t xml:space="preserve">   </w:t>
            </w:r>
          </w:p>
          <w:p w14:paraId="00F767EE" w14:textId="77777777" w:rsidR="000E1EF7" w:rsidRPr="009527E1" w:rsidRDefault="000E1EF7" w:rsidP="000E1EF7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527E1">
              <w:rPr>
                <w:rFonts w:cstheme="minorHAnsi"/>
                <w:i/>
                <w:sz w:val="24"/>
                <w:szCs w:val="24"/>
              </w:rPr>
              <w:t xml:space="preserve">Todos los documentos esenciales deben ser archivados en un lugar que preserve su integridad y </w:t>
            </w:r>
            <w:r w:rsidR="00AF1D5E" w:rsidRPr="009527E1">
              <w:rPr>
                <w:rFonts w:cstheme="minorHAnsi"/>
                <w:i/>
                <w:sz w:val="24"/>
                <w:szCs w:val="24"/>
              </w:rPr>
              <w:t>visibilidad, restringiendo el acceso a solo el personal pertinente. Solo a petición del presidente del CNBI, la Secretaria Técnica puede hacer disponible el contenido de los documentos archivados a terceras personas.</w:t>
            </w:r>
          </w:p>
          <w:p w14:paraId="077A2D3B" w14:textId="7CD93CFF" w:rsidR="009527E1" w:rsidRPr="009527E1" w:rsidRDefault="00AF1D5E" w:rsidP="009527E1">
            <w:pPr>
              <w:pStyle w:val="Prrafodelista"/>
              <w:numPr>
                <w:ilvl w:val="1"/>
                <w:numId w:val="2"/>
              </w:numPr>
              <w:rPr>
                <w:rFonts w:cstheme="minorHAnsi"/>
                <w:i/>
                <w:sz w:val="24"/>
                <w:szCs w:val="24"/>
              </w:rPr>
            </w:pPr>
            <w:r w:rsidRPr="009527E1">
              <w:rPr>
                <w:rFonts w:cstheme="minorHAnsi"/>
                <w:i/>
                <w:sz w:val="24"/>
                <w:szCs w:val="24"/>
              </w:rPr>
              <w:t>El medio usado para guardar los documentos esenciales debe ser tal que permita que los mismos permanezcan legibles a lo largo del periodo de archivo. Se recomienda que todos los documentos esenciales de un mismo estudio sean archivados en una caja o receptáculo afín, rotulado con el número de referencia del estudio y el sitio del estudio, el nombre del investigador principal, la fecha en que fueron archivados</w:t>
            </w:r>
            <w:r w:rsidR="008957BF" w:rsidRPr="009527E1">
              <w:rPr>
                <w:rFonts w:cstheme="minorHAnsi"/>
                <w:i/>
                <w:sz w:val="24"/>
                <w:szCs w:val="24"/>
              </w:rPr>
              <w:t xml:space="preserve"> y la fecha en que pueden ser destruidos. </w:t>
            </w:r>
            <w:r w:rsidR="009527E1" w:rsidRPr="009527E1">
              <w:rPr>
                <w:rFonts w:cstheme="minorHAnsi"/>
                <w:i/>
                <w:sz w:val="24"/>
                <w:szCs w:val="24"/>
              </w:rPr>
              <w:t>Los documentos pueden ser archivados en una caja, archivo digital o medio electrónico afín.</w:t>
            </w:r>
          </w:p>
          <w:p w14:paraId="6A09C5CF" w14:textId="77777777" w:rsidR="00684079" w:rsidRPr="009527E1" w:rsidRDefault="00684079" w:rsidP="008957BF">
            <w:pPr>
              <w:pStyle w:val="Sangranormal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13F68A87" w14:textId="77777777" w:rsidR="008957BF" w:rsidRPr="009527E1" w:rsidRDefault="008957BF" w:rsidP="008957BF">
            <w:pPr>
              <w:pStyle w:val="Sangranormal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527E1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¿</w:t>
            </w:r>
            <w:proofErr w:type="spellStart"/>
            <w:r w:rsidRPr="009527E1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Dónde</w:t>
            </w:r>
            <w:proofErr w:type="spellEnd"/>
            <w:r w:rsidRPr="009527E1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7E1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archivar</w:t>
            </w:r>
            <w:proofErr w:type="spellEnd"/>
            <w:r w:rsidRPr="009527E1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?</w:t>
            </w:r>
          </w:p>
          <w:p w14:paraId="742D239F" w14:textId="77777777" w:rsidR="008957BF" w:rsidRPr="009527E1" w:rsidRDefault="008957BF" w:rsidP="008957BF">
            <w:pPr>
              <w:pStyle w:val="Sangranormal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s-PA"/>
              </w:rPr>
            </w:pPr>
            <w:r w:rsidRPr="009527E1">
              <w:rPr>
                <w:rFonts w:asciiTheme="minorHAnsi" w:hAnsiTheme="minorHAnsi" w:cstheme="minorHAnsi"/>
                <w:i/>
                <w:sz w:val="24"/>
                <w:szCs w:val="24"/>
                <w:lang w:val="es-PA"/>
              </w:rPr>
              <w:t xml:space="preserve">Los documentos esenciales deben ser archivados en un cuarto o anaquel apropiado. Debe considerarse que sea a prueba de fuego y que pueda brindar </w:t>
            </w:r>
            <w:r w:rsidRPr="009527E1">
              <w:rPr>
                <w:rFonts w:asciiTheme="minorHAnsi" w:hAnsiTheme="minorHAnsi" w:cstheme="minorHAnsi"/>
                <w:i/>
                <w:sz w:val="24"/>
                <w:szCs w:val="24"/>
                <w:lang w:val="es-PA"/>
              </w:rPr>
              <w:lastRenderedPageBreak/>
              <w:t>protección al agua, a la humedad y a roedores u otras plagas que pudieran alterar la integridad de la documentación.</w:t>
            </w:r>
          </w:p>
          <w:p w14:paraId="16C7307F" w14:textId="1BAB2950" w:rsidR="008957BF" w:rsidRPr="001508A9" w:rsidRDefault="008957BF" w:rsidP="001508A9">
            <w:pPr>
              <w:pStyle w:val="Sangranormal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s-PA"/>
              </w:rPr>
            </w:pPr>
            <w:r w:rsidRPr="009527E1">
              <w:rPr>
                <w:rFonts w:asciiTheme="minorHAnsi" w:hAnsiTheme="minorHAnsi" w:cstheme="minorHAnsi"/>
                <w:i/>
                <w:sz w:val="24"/>
                <w:szCs w:val="24"/>
                <w:lang w:val="es-PA"/>
              </w:rPr>
              <w:t>El cuarto o anaquel debe estar siempre cerrado y su acceso restringido a personal autorizado.</w:t>
            </w:r>
          </w:p>
          <w:p w14:paraId="729C39C6" w14:textId="77777777" w:rsidR="008957BF" w:rsidRPr="009527E1" w:rsidRDefault="008957BF" w:rsidP="008957BF">
            <w:pPr>
              <w:pStyle w:val="Sangranormal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273759ED" w14:textId="77777777" w:rsidR="00471446" w:rsidRPr="000E1EF7" w:rsidRDefault="00471446" w:rsidP="00471446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181B03E" w14:textId="77777777" w:rsidR="00A85348" w:rsidRPr="000E1EF7" w:rsidRDefault="00A85348" w:rsidP="00471446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71446" w:rsidRPr="00BE06A0" w14:paraId="04EE5740" w14:textId="77777777" w:rsidTr="00DF764A">
        <w:tc>
          <w:tcPr>
            <w:tcW w:w="8978" w:type="dxa"/>
            <w:shd w:val="clear" w:color="auto" w:fill="C2D69B" w:themeFill="accent3" w:themeFillTint="99"/>
          </w:tcPr>
          <w:p w14:paraId="3752F784" w14:textId="77777777" w:rsidR="00471446" w:rsidRPr="00BE06A0" w:rsidRDefault="00471446" w:rsidP="005341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Documentos de Referencia</w:t>
            </w:r>
          </w:p>
        </w:tc>
      </w:tr>
      <w:tr w:rsidR="00471446" w:rsidRPr="00091429" w14:paraId="2997A55D" w14:textId="77777777" w:rsidTr="005341F9">
        <w:tc>
          <w:tcPr>
            <w:tcW w:w="8978" w:type="dxa"/>
          </w:tcPr>
          <w:p w14:paraId="4695F2FD" w14:textId="77777777" w:rsidR="00091429" w:rsidRPr="00A47892" w:rsidRDefault="00091429" w:rsidP="00091429">
            <w:pPr>
              <w:pStyle w:val="Sangranormal"/>
            </w:pPr>
            <w:r w:rsidRPr="00A47892">
              <w:t>ICH Harmonised Tripartite Guideli</w:t>
            </w:r>
            <w:r>
              <w:t>ne for Good Clinical Practice</w:t>
            </w:r>
            <w:r w:rsidRPr="00A47892">
              <w:rPr>
                <w:szCs w:val="22"/>
              </w:rPr>
              <w:t xml:space="preserve">.  </w:t>
            </w:r>
          </w:p>
          <w:p w14:paraId="0197AB5B" w14:textId="77777777" w:rsidR="00091429" w:rsidRPr="00A47892" w:rsidRDefault="00091429" w:rsidP="00091429">
            <w:pPr>
              <w:pStyle w:val="Sangranormal"/>
              <w:rPr>
                <w:szCs w:val="22"/>
              </w:rPr>
            </w:pPr>
            <w:r w:rsidRPr="00A47892">
              <w:rPr>
                <w:szCs w:val="22"/>
              </w:rPr>
              <w:t>Medicines for Human Use (Clinical Trials) Regulations 2004</w:t>
            </w:r>
          </w:p>
          <w:p w14:paraId="32957490" w14:textId="77777777" w:rsidR="00091429" w:rsidRDefault="00091429" w:rsidP="00091429">
            <w:pPr>
              <w:pStyle w:val="Sangranormal"/>
              <w:rPr>
                <w:szCs w:val="22"/>
              </w:rPr>
            </w:pPr>
            <w:r w:rsidRPr="00A47892">
              <w:rPr>
                <w:szCs w:val="22"/>
              </w:rPr>
              <w:t>Medicines for Human Use (Clinical Trials) Amendment Regulations 2006</w:t>
            </w:r>
          </w:p>
          <w:p w14:paraId="2AA57C20" w14:textId="77777777" w:rsidR="00471446" w:rsidRPr="00091429" w:rsidRDefault="00471446" w:rsidP="005341F9">
            <w:pPr>
              <w:rPr>
                <w:rFonts w:cstheme="minorHAnsi"/>
                <w:i/>
                <w:sz w:val="24"/>
                <w:szCs w:val="24"/>
                <w:lang w:val="en-GB"/>
              </w:rPr>
            </w:pPr>
          </w:p>
        </w:tc>
      </w:tr>
    </w:tbl>
    <w:p w14:paraId="39AFB8CA" w14:textId="77777777" w:rsidR="00A85348" w:rsidRPr="00091429" w:rsidRDefault="00A85348" w:rsidP="00471446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550F0F8" w14:textId="77777777" w:rsidR="001546EB" w:rsidRPr="00091429" w:rsidRDefault="00471446" w:rsidP="00471446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91429">
        <w:rPr>
          <w:rFonts w:cstheme="minorHAnsi"/>
          <w:sz w:val="24"/>
          <w:szCs w:val="24"/>
          <w:lang w:val="en-US"/>
        </w:rPr>
        <w:t xml:space="preserve"> </w:t>
      </w:r>
    </w:p>
    <w:tbl>
      <w:tblPr>
        <w:tblStyle w:val="Tablaconcuadrcula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546EB" w:rsidRPr="00BE06A0" w14:paraId="0179C3D3" w14:textId="77777777" w:rsidTr="00DF764A">
        <w:tc>
          <w:tcPr>
            <w:tcW w:w="8978" w:type="dxa"/>
            <w:shd w:val="clear" w:color="auto" w:fill="C2D69B" w:themeFill="accent3" w:themeFillTint="99"/>
            <w:vAlign w:val="center"/>
          </w:tcPr>
          <w:p w14:paraId="2D391224" w14:textId="77777777" w:rsidR="001546EB" w:rsidRPr="00BE06A0" w:rsidRDefault="001546EB" w:rsidP="005341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Historia de cambios</w:t>
            </w:r>
          </w:p>
        </w:tc>
      </w:tr>
    </w:tbl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204"/>
        <w:gridCol w:w="2203"/>
        <w:gridCol w:w="2218"/>
      </w:tblGrid>
      <w:tr w:rsidR="00CA4235" w:rsidRPr="00BE06A0" w14:paraId="124D0E33" w14:textId="77777777" w:rsidTr="00BE06A0">
        <w:tc>
          <w:tcPr>
            <w:tcW w:w="2244" w:type="dxa"/>
            <w:shd w:val="clear" w:color="auto" w:fill="C2D69B" w:themeFill="accent3" w:themeFillTint="99"/>
            <w:vAlign w:val="center"/>
          </w:tcPr>
          <w:p w14:paraId="375A39D7" w14:textId="77777777" w:rsidR="00CA4235" w:rsidRPr="00BE06A0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Fecha del cambio:</w:t>
            </w:r>
          </w:p>
        </w:tc>
        <w:tc>
          <w:tcPr>
            <w:tcW w:w="2244" w:type="dxa"/>
            <w:shd w:val="clear" w:color="auto" w:fill="C2D69B" w:themeFill="accent3" w:themeFillTint="99"/>
            <w:vAlign w:val="center"/>
          </w:tcPr>
          <w:p w14:paraId="1B69ABD3" w14:textId="77777777" w:rsidR="00CA4235" w:rsidRPr="00BE06A0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Versión revisada / Fecha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3FF17DDE" w14:textId="77777777" w:rsidR="00CA4235" w:rsidRPr="00BE06A0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Cambio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2E767AAD" w14:textId="77777777" w:rsidR="00CA4235" w:rsidRPr="00BE06A0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Justificación</w:t>
            </w:r>
          </w:p>
        </w:tc>
      </w:tr>
      <w:tr w:rsidR="00CA4235" w:rsidRPr="00BE06A0" w14:paraId="4C90790A" w14:textId="77777777" w:rsidTr="00471446">
        <w:tc>
          <w:tcPr>
            <w:tcW w:w="2244" w:type="dxa"/>
            <w:vAlign w:val="center"/>
          </w:tcPr>
          <w:p w14:paraId="31267BB7" w14:textId="77777777" w:rsidR="00CA4235" w:rsidRPr="00BE06A0" w:rsidRDefault="00091429" w:rsidP="00471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Marzo de 2018</w:t>
            </w:r>
          </w:p>
        </w:tc>
        <w:tc>
          <w:tcPr>
            <w:tcW w:w="2244" w:type="dxa"/>
            <w:vAlign w:val="center"/>
          </w:tcPr>
          <w:p w14:paraId="2C64F65F" w14:textId="77777777" w:rsidR="00CA4235" w:rsidRPr="00BE06A0" w:rsidRDefault="00091429" w:rsidP="00471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Marzo de 2018</w:t>
            </w:r>
          </w:p>
        </w:tc>
        <w:tc>
          <w:tcPr>
            <w:tcW w:w="2245" w:type="dxa"/>
            <w:vAlign w:val="center"/>
          </w:tcPr>
          <w:p w14:paraId="384C5AA7" w14:textId="77777777" w:rsidR="00CA4235" w:rsidRPr="00BE06A0" w:rsidRDefault="00BE06A0" w:rsidP="004714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6A0">
              <w:rPr>
                <w:rFonts w:cstheme="minorHAnsi"/>
                <w:sz w:val="24"/>
                <w:szCs w:val="24"/>
              </w:rPr>
              <w:t>Estilo</w:t>
            </w:r>
          </w:p>
        </w:tc>
        <w:tc>
          <w:tcPr>
            <w:tcW w:w="2245" w:type="dxa"/>
            <w:vAlign w:val="center"/>
          </w:tcPr>
          <w:p w14:paraId="643E7EB9" w14:textId="77777777" w:rsidR="00CA4235" w:rsidRPr="00BE06A0" w:rsidRDefault="00BE06A0" w:rsidP="004714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6A0">
              <w:rPr>
                <w:rFonts w:cstheme="minorHAnsi"/>
                <w:sz w:val="24"/>
                <w:szCs w:val="24"/>
              </w:rPr>
              <w:t xml:space="preserve">Revisión general de </w:t>
            </w:r>
            <w:proofErr w:type="spellStart"/>
            <w:r w:rsidRPr="00BE06A0">
              <w:rPr>
                <w:rFonts w:cstheme="minorHAnsi"/>
                <w:sz w:val="24"/>
                <w:szCs w:val="24"/>
              </w:rPr>
              <w:t>PO</w:t>
            </w:r>
            <w:r w:rsidR="00DA736A">
              <w:rPr>
                <w:rFonts w:cstheme="minorHAnsi"/>
                <w:sz w:val="24"/>
                <w:szCs w:val="24"/>
              </w:rPr>
              <w:t>s</w:t>
            </w:r>
            <w:proofErr w:type="spellEnd"/>
            <w:r w:rsidR="00DA736A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="00DA736A">
              <w:rPr>
                <w:rFonts w:cstheme="minorHAnsi"/>
                <w:sz w:val="24"/>
                <w:szCs w:val="24"/>
              </w:rPr>
              <w:t>PTs</w:t>
            </w:r>
            <w:proofErr w:type="spellEnd"/>
          </w:p>
        </w:tc>
      </w:tr>
    </w:tbl>
    <w:p w14:paraId="151CCE2B" w14:textId="77777777" w:rsidR="00A85348" w:rsidRPr="00BE06A0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2209"/>
        <w:gridCol w:w="2210"/>
      </w:tblGrid>
      <w:tr w:rsidR="001335DF" w:rsidRPr="00BE06A0" w14:paraId="52679D8E" w14:textId="77777777" w:rsidTr="00DA736A">
        <w:tc>
          <w:tcPr>
            <w:tcW w:w="8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14:paraId="0D1DFC60" w14:textId="77777777" w:rsidR="001335DF" w:rsidRPr="00BE06A0" w:rsidRDefault="001335DF" w:rsidP="005341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Preparado por</w:t>
            </w:r>
          </w:p>
        </w:tc>
      </w:tr>
      <w:tr w:rsidR="0060493A" w:rsidRPr="00BE06A0" w14:paraId="594F186E" w14:textId="77777777" w:rsidTr="00DA736A">
        <w:tc>
          <w:tcPr>
            <w:tcW w:w="4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14:paraId="6C1430A4" w14:textId="77777777" w:rsidR="0060493A" w:rsidRPr="00BE06A0" w:rsidRDefault="0060493A" w:rsidP="005341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14:paraId="5D9AFE89" w14:textId="77777777" w:rsidR="0060493A" w:rsidRPr="00BE06A0" w:rsidRDefault="0060493A" w:rsidP="005341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14:paraId="1E23AA75" w14:textId="77777777" w:rsidR="0060493A" w:rsidRPr="00BE06A0" w:rsidRDefault="0060493A" w:rsidP="005341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BE06A0" w14:paraId="41E9BC48" w14:textId="77777777" w:rsidTr="00DA736A">
        <w:trPr>
          <w:trHeight w:val="469"/>
        </w:trPr>
        <w:tc>
          <w:tcPr>
            <w:tcW w:w="4488" w:type="dxa"/>
            <w:tcBorders>
              <w:top w:val="dotted" w:sz="4" w:space="0" w:color="auto"/>
            </w:tcBorders>
            <w:vAlign w:val="center"/>
          </w:tcPr>
          <w:p w14:paraId="4A690A34" w14:textId="77777777" w:rsidR="00371690" w:rsidRPr="00BE06A0" w:rsidRDefault="00371690" w:rsidP="005341F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AB9495A" w14:textId="77777777" w:rsidR="0060493A" w:rsidRPr="00BE06A0" w:rsidRDefault="0060493A" w:rsidP="005341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6A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13FE114" w14:textId="77777777" w:rsidR="00A85348" w:rsidRPr="00BE06A0" w:rsidRDefault="00A85348" w:rsidP="005341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otted" w:sz="4" w:space="0" w:color="auto"/>
            </w:tcBorders>
            <w:vAlign w:val="center"/>
          </w:tcPr>
          <w:p w14:paraId="3AAA9EDF" w14:textId="77777777" w:rsidR="0060493A" w:rsidRPr="00BE06A0" w:rsidRDefault="0060493A" w:rsidP="005341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otted" w:sz="4" w:space="0" w:color="auto"/>
            </w:tcBorders>
            <w:vAlign w:val="center"/>
          </w:tcPr>
          <w:p w14:paraId="3E9DAC5A" w14:textId="77777777" w:rsidR="0060493A" w:rsidRPr="00BE06A0" w:rsidRDefault="0060493A" w:rsidP="005341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493A" w:rsidRPr="00BE06A0" w14:paraId="086025EB" w14:textId="77777777" w:rsidTr="00DA736A">
        <w:tc>
          <w:tcPr>
            <w:tcW w:w="8978" w:type="dxa"/>
            <w:gridSpan w:val="3"/>
            <w:shd w:val="clear" w:color="auto" w:fill="C2D69B" w:themeFill="accent3" w:themeFillTint="99"/>
            <w:vAlign w:val="center"/>
          </w:tcPr>
          <w:p w14:paraId="3EE8E9DA" w14:textId="77777777" w:rsidR="0060493A" w:rsidRPr="00BE06A0" w:rsidRDefault="0060493A" w:rsidP="005341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 xml:space="preserve">Revisado </w:t>
            </w:r>
            <w:r w:rsidR="00A85348" w:rsidRPr="00BE06A0">
              <w:rPr>
                <w:rFonts w:cstheme="minorHAnsi"/>
                <w:b/>
                <w:sz w:val="24"/>
                <w:szCs w:val="24"/>
              </w:rPr>
              <w:t xml:space="preserve">y Aprobado </w:t>
            </w:r>
            <w:r w:rsidRPr="00BE06A0">
              <w:rPr>
                <w:rFonts w:cstheme="minorHAnsi"/>
                <w:b/>
                <w:sz w:val="24"/>
                <w:szCs w:val="24"/>
              </w:rPr>
              <w:t>por</w:t>
            </w:r>
          </w:p>
        </w:tc>
      </w:tr>
      <w:tr w:rsidR="0060493A" w:rsidRPr="00BE06A0" w14:paraId="58D7B97E" w14:textId="77777777" w:rsidTr="00DA736A">
        <w:tc>
          <w:tcPr>
            <w:tcW w:w="4488" w:type="dxa"/>
            <w:shd w:val="clear" w:color="auto" w:fill="C2D69B" w:themeFill="accent3" w:themeFillTint="99"/>
            <w:vAlign w:val="center"/>
          </w:tcPr>
          <w:p w14:paraId="6B9B540D" w14:textId="77777777" w:rsidR="0060493A" w:rsidRPr="00BE06A0" w:rsidRDefault="0060493A" w:rsidP="005341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40F472F4" w14:textId="77777777" w:rsidR="0060493A" w:rsidRPr="00BE06A0" w:rsidRDefault="0060493A" w:rsidP="005341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7CEADAC5" w14:textId="77777777" w:rsidR="0060493A" w:rsidRPr="00BE06A0" w:rsidRDefault="0060493A" w:rsidP="005341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BE06A0" w14:paraId="3336D3DA" w14:textId="77777777" w:rsidTr="005341F9">
        <w:trPr>
          <w:trHeight w:val="469"/>
        </w:trPr>
        <w:tc>
          <w:tcPr>
            <w:tcW w:w="4488" w:type="dxa"/>
            <w:vAlign w:val="center"/>
          </w:tcPr>
          <w:p w14:paraId="66F3EF69" w14:textId="77777777" w:rsidR="00371690" w:rsidRPr="00BE06A0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7348AC7" w14:textId="77777777" w:rsidR="00371690" w:rsidRPr="00BE06A0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5BCC2E4" w14:textId="77777777" w:rsidR="0060493A" w:rsidRPr="00BE06A0" w:rsidRDefault="008341C7" w:rsidP="008438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6A0">
              <w:rPr>
                <w:rFonts w:cstheme="minorHAnsi"/>
                <w:sz w:val="24"/>
                <w:szCs w:val="24"/>
              </w:rPr>
              <w:t>Presidente del C</w:t>
            </w:r>
            <w:r w:rsidR="00843844" w:rsidRPr="00BE06A0">
              <w:rPr>
                <w:rFonts w:cstheme="minorHAnsi"/>
                <w:sz w:val="24"/>
                <w:szCs w:val="24"/>
              </w:rPr>
              <w:t>NBI</w:t>
            </w:r>
          </w:p>
        </w:tc>
        <w:tc>
          <w:tcPr>
            <w:tcW w:w="2245" w:type="dxa"/>
            <w:vAlign w:val="center"/>
          </w:tcPr>
          <w:p w14:paraId="658D936C" w14:textId="77777777" w:rsidR="0060493A" w:rsidRPr="00BE06A0" w:rsidRDefault="0060493A" w:rsidP="005341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14:paraId="035D73F9" w14:textId="77777777" w:rsidR="0060493A" w:rsidRPr="00BE06A0" w:rsidRDefault="0060493A" w:rsidP="005341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96A151B" w14:textId="77777777" w:rsidR="00CA4235" w:rsidRPr="00BE06A0" w:rsidRDefault="00CA4235" w:rsidP="009527E1">
      <w:pPr>
        <w:spacing w:after="0" w:line="240" w:lineRule="auto"/>
        <w:rPr>
          <w:rFonts w:cstheme="minorHAnsi"/>
          <w:sz w:val="24"/>
          <w:szCs w:val="24"/>
        </w:rPr>
      </w:pPr>
    </w:p>
    <w:sectPr w:rsidR="00CA4235" w:rsidRPr="00BE06A0" w:rsidSect="00781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AAA2A" w14:textId="77777777" w:rsidR="00690093" w:rsidRDefault="00690093" w:rsidP="00CA4235">
      <w:pPr>
        <w:spacing w:after="0" w:line="240" w:lineRule="auto"/>
      </w:pPr>
      <w:r>
        <w:separator/>
      </w:r>
    </w:p>
  </w:endnote>
  <w:endnote w:type="continuationSeparator" w:id="0">
    <w:p w14:paraId="1FA5AA6D" w14:textId="77777777" w:rsidR="00690093" w:rsidRDefault="00690093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C0119" w14:textId="77777777" w:rsidR="00AA2877" w:rsidRDefault="00AA28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01445" w14:textId="77777777" w:rsidR="005341F9" w:rsidRPr="0060493A" w:rsidRDefault="005341F9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>Comité Nacional de Bioética de la Investigación</w:t>
    </w:r>
  </w:p>
  <w:p w14:paraId="7CE67042" w14:textId="77777777" w:rsidR="005341F9" w:rsidRDefault="005341F9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621A55" w:rsidRPr="00621A55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1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9527E1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9527E1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9527E1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621A55" w:rsidRPr="00621A55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3</w:t>
    </w:r>
    <w:r w:rsidR="009527E1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14:paraId="2F6D81F9" w14:textId="77777777" w:rsidR="005341F9" w:rsidRPr="0060493A" w:rsidRDefault="005341F9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7487" w14:textId="77777777" w:rsidR="00AA2877" w:rsidRDefault="00AA28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6FBD7" w14:textId="77777777" w:rsidR="00690093" w:rsidRDefault="00690093" w:rsidP="00CA4235">
      <w:pPr>
        <w:spacing w:after="0" w:line="240" w:lineRule="auto"/>
      </w:pPr>
      <w:r>
        <w:separator/>
      </w:r>
    </w:p>
  </w:footnote>
  <w:footnote w:type="continuationSeparator" w:id="0">
    <w:p w14:paraId="2A3AC275" w14:textId="77777777" w:rsidR="00690093" w:rsidRDefault="00690093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0C46C" w14:textId="77777777" w:rsidR="00AA2877" w:rsidRDefault="00AA28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810" w:type="dxa"/>
      <w:tblInd w:w="-48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3149"/>
      <w:gridCol w:w="6661"/>
    </w:tblGrid>
    <w:tr w:rsidR="005341F9" w14:paraId="1CB74877" w14:textId="77777777" w:rsidTr="00D655E9">
      <w:trPr>
        <w:trHeight w:val="437"/>
      </w:trPr>
      <w:tc>
        <w:tcPr>
          <w:tcW w:w="314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709B586" w14:textId="77777777" w:rsidR="005341F9" w:rsidRDefault="005341F9" w:rsidP="00843844">
          <w:pPr>
            <w:pStyle w:val="Piedepgina"/>
            <w:jc w:val="center"/>
            <w:rPr>
              <w:rFonts w:ascii="Arial" w:hAnsi="Arial" w:cs="Arial"/>
              <w:b/>
              <w:noProof/>
              <w:sz w:val="16"/>
              <w:lang w:eastAsia="es-MX"/>
            </w:rPr>
          </w:pPr>
          <w:r>
            <w:rPr>
              <w:rFonts w:ascii="Arial" w:hAnsi="Arial" w:cs="Arial"/>
              <w:b/>
              <w:noProof/>
              <w:sz w:val="16"/>
              <w:lang w:val="es-PA" w:eastAsia="es-PA"/>
            </w:rPr>
            <w:drawing>
              <wp:inline distT="0" distB="0" distL="0" distR="0" wp14:anchorId="078EEF3B" wp14:editId="117C5B97">
                <wp:extent cx="1296733" cy="628650"/>
                <wp:effectExtent l="19050" t="0" r="0" b="0"/>
                <wp:docPr id="1" name="0 Imagen" descr="logo CNB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NB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879" cy="628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sz w:val="16"/>
              <w:lang w:eastAsia="es-MX"/>
            </w:rPr>
            <w:t xml:space="preserve"> </w:t>
          </w:r>
        </w:p>
      </w:tc>
      <w:tc>
        <w:tcPr>
          <w:tcW w:w="666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A85CFBC" w14:textId="77777777" w:rsidR="005341F9" w:rsidRDefault="005341F9" w:rsidP="00843844">
          <w:pPr>
            <w:pStyle w:val="Piedepgina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 </w:t>
          </w:r>
        </w:p>
        <w:p w14:paraId="7A7F5B60" w14:textId="77777777" w:rsidR="005341F9" w:rsidRPr="00BE06A0" w:rsidRDefault="005341F9" w:rsidP="00843844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BE06A0">
            <w:rPr>
              <w:rFonts w:cstheme="minorHAnsi"/>
              <w:b/>
              <w:sz w:val="24"/>
              <w:szCs w:val="24"/>
            </w:rPr>
            <w:t>Comité Nacional de Bioética de la Investigación de Panamá</w:t>
          </w:r>
          <w:r w:rsidRPr="00BE06A0">
            <w:rPr>
              <w:rFonts w:cstheme="minorHAnsi"/>
              <w:b/>
              <w:noProof/>
              <w:sz w:val="24"/>
              <w:szCs w:val="24"/>
              <w:lang w:eastAsia="es-MX"/>
            </w:rPr>
            <w:t xml:space="preserve"> </w:t>
          </w:r>
        </w:p>
        <w:p w14:paraId="02E16A4A" w14:textId="77777777" w:rsidR="005341F9" w:rsidRDefault="005341F9" w:rsidP="00843844">
          <w:pPr>
            <w:pStyle w:val="Piedepgina"/>
            <w:ind w:left="884" w:hanging="884"/>
            <w:jc w:val="center"/>
            <w:rPr>
              <w:rFonts w:ascii="Arial" w:hAnsi="Arial" w:cs="Arial"/>
              <w:b/>
              <w:sz w:val="20"/>
            </w:rPr>
          </w:pPr>
          <w:r w:rsidRPr="00BE06A0">
            <w:rPr>
              <w:rFonts w:cstheme="minorHAnsi"/>
              <w:b/>
              <w:sz w:val="24"/>
              <w:szCs w:val="24"/>
            </w:rPr>
            <w:t>Plantilla de Trabajo</w:t>
          </w:r>
        </w:p>
      </w:tc>
    </w:tr>
    <w:tr w:rsidR="005341F9" w:rsidRPr="005C619A" w14:paraId="563B7B7B" w14:textId="77777777" w:rsidTr="00D655E9">
      <w:trPr>
        <w:trHeight w:val="294"/>
      </w:trPr>
      <w:tc>
        <w:tcPr>
          <w:tcW w:w="314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14:paraId="3E63BDD2" w14:textId="5E0D7F3B" w:rsidR="005341F9" w:rsidRPr="005C619A" w:rsidRDefault="005341F9" w:rsidP="005C619A">
          <w:pPr>
            <w:pStyle w:val="Piedepgina"/>
            <w:rPr>
              <w:rFonts w:cstheme="minorHAnsi"/>
              <w:b/>
              <w:szCs w:val="24"/>
            </w:rPr>
          </w:pPr>
          <w:r w:rsidRPr="005C619A">
            <w:rPr>
              <w:rFonts w:cstheme="minorHAnsi"/>
              <w:b/>
              <w:szCs w:val="24"/>
            </w:rPr>
            <w:t>Código: P</w:t>
          </w:r>
          <w:r w:rsidR="009527E1" w:rsidRPr="005C619A">
            <w:rPr>
              <w:rFonts w:cstheme="minorHAnsi"/>
              <w:b/>
              <w:szCs w:val="24"/>
            </w:rPr>
            <w:t>O</w:t>
          </w:r>
          <w:r w:rsidRPr="005C619A">
            <w:rPr>
              <w:rFonts w:cstheme="minorHAnsi"/>
              <w:b/>
              <w:szCs w:val="24"/>
            </w:rPr>
            <w:t>-</w:t>
          </w:r>
          <w:r w:rsidR="009527E1" w:rsidRPr="005C619A">
            <w:rPr>
              <w:rFonts w:cstheme="minorHAnsi"/>
              <w:b/>
              <w:szCs w:val="24"/>
            </w:rPr>
            <w:t>019</w:t>
          </w:r>
        </w:p>
        <w:p w14:paraId="312FC727" w14:textId="179892F2" w:rsidR="005341F9" w:rsidRPr="005C619A" w:rsidRDefault="005341F9" w:rsidP="005C619A">
          <w:pPr>
            <w:pStyle w:val="Piedepgina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666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0F7E70E" w14:textId="77777777" w:rsidR="005341F9" w:rsidRPr="005C619A" w:rsidRDefault="005341F9" w:rsidP="005341F9">
          <w:pPr>
            <w:pStyle w:val="Piedepgina"/>
            <w:jc w:val="both"/>
            <w:rPr>
              <w:rFonts w:cstheme="minorHAnsi"/>
              <w:b/>
              <w:sz w:val="24"/>
              <w:szCs w:val="24"/>
            </w:rPr>
          </w:pPr>
          <w:r w:rsidRPr="005C619A">
            <w:rPr>
              <w:rFonts w:cstheme="minorHAnsi"/>
              <w:b/>
              <w:sz w:val="24"/>
              <w:szCs w:val="24"/>
            </w:rPr>
            <w:t>Título: Resguardo de datos e información del CNBI y Protocolos</w:t>
          </w:r>
        </w:p>
        <w:p w14:paraId="1167CD4B" w14:textId="77777777" w:rsidR="0022750B" w:rsidRPr="005C619A" w:rsidRDefault="0022750B" w:rsidP="005341F9">
          <w:pPr>
            <w:pStyle w:val="Piedepgina"/>
            <w:jc w:val="both"/>
            <w:rPr>
              <w:rFonts w:cstheme="minorHAnsi"/>
              <w:b/>
              <w:sz w:val="24"/>
              <w:szCs w:val="24"/>
            </w:rPr>
          </w:pPr>
        </w:p>
      </w:tc>
    </w:tr>
    <w:tr w:rsidR="009527E1" w14:paraId="77C72F93" w14:textId="77777777" w:rsidTr="00D655E9">
      <w:trPr>
        <w:trHeight w:val="294"/>
      </w:trPr>
      <w:tc>
        <w:tcPr>
          <w:tcW w:w="314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</w:tcPr>
        <w:p w14:paraId="6E11A293" w14:textId="36543C8A" w:rsidR="009527E1" w:rsidRPr="00D655E9" w:rsidRDefault="009527E1" w:rsidP="005C619A">
          <w:pPr>
            <w:pStyle w:val="Piedepgina"/>
            <w:rPr>
              <w:rFonts w:cstheme="minorHAnsi"/>
              <w:b/>
              <w:szCs w:val="24"/>
            </w:rPr>
          </w:pPr>
          <w:r>
            <w:rPr>
              <w:rFonts w:cstheme="minorHAnsi"/>
              <w:b/>
              <w:szCs w:val="24"/>
            </w:rPr>
            <w:t xml:space="preserve">Versión </w:t>
          </w:r>
          <w:r>
            <w:rPr>
              <w:rFonts w:cstheme="minorHAnsi"/>
              <w:b/>
              <w:szCs w:val="24"/>
            </w:rPr>
            <w:t>1.0</w:t>
          </w:r>
          <w:bookmarkStart w:id="0" w:name="_GoBack"/>
          <w:bookmarkEnd w:id="0"/>
        </w:p>
      </w:tc>
      <w:tc>
        <w:tcPr>
          <w:tcW w:w="666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596DDC9" w14:textId="2907496D" w:rsidR="009527E1" w:rsidRPr="005C619A" w:rsidRDefault="009527E1" w:rsidP="005341F9">
          <w:pPr>
            <w:pStyle w:val="Piedepgina"/>
            <w:jc w:val="both"/>
            <w:rPr>
              <w:rFonts w:cstheme="minorHAnsi"/>
              <w:sz w:val="24"/>
              <w:szCs w:val="24"/>
            </w:rPr>
          </w:pPr>
          <w:r w:rsidRPr="005C619A">
            <w:rPr>
              <w:rFonts w:cstheme="minorHAnsi"/>
              <w:szCs w:val="24"/>
            </w:rPr>
            <w:t xml:space="preserve">Fecha: </w:t>
          </w:r>
          <w:proofErr w:type="gramStart"/>
          <w:r w:rsidRPr="005C619A">
            <w:rPr>
              <w:rFonts w:cstheme="minorHAnsi"/>
              <w:szCs w:val="24"/>
            </w:rPr>
            <w:t>Marzo</w:t>
          </w:r>
          <w:proofErr w:type="gramEnd"/>
          <w:r w:rsidRPr="005C619A">
            <w:rPr>
              <w:rFonts w:cstheme="minorHAnsi"/>
              <w:szCs w:val="24"/>
            </w:rPr>
            <w:t xml:space="preserve"> de 2018</w:t>
          </w:r>
        </w:p>
      </w:tc>
    </w:tr>
  </w:tbl>
  <w:p w14:paraId="42FCF13B" w14:textId="77777777" w:rsidR="005341F9" w:rsidRDefault="005341F9" w:rsidP="00781A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BFD99" w14:textId="77777777" w:rsidR="00AA2877" w:rsidRDefault="00AA28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72F29"/>
    <w:multiLevelType w:val="hybridMultilevel"/>
    <w:tmpl w:val="CEE25728"/>
    <w:lvl w:ilvl="0" w:tplc="1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E5"/>
    <w:rsid w:val="0006526C"/>
    <w:rsid w:val="00071D9B"/>
    <w:rsid w:val="00091429"/>
    <w:rsid w:val="000D10DC"/>
    <w:rsid w:val="000D4C57"/>
    <w:rsid w:val="000E1EF7"/>
    <w:rsid w:val="000E7608"/>
    <w:rsid w:val="001335DF"/>
    <w:rsid w:val="001508A9"/>
    <w:rsid w:val="001546EB"/>
    <w:rsid w:val="001B0DDB"/>
    <w:rsid w:val="001B7362"/>
    <w:rsid w:val="001F65FC"/>
    <w:rsid w:val="0022750B"/>
    <w:rsid w:val="002A2AC2"/>
    <w:rsid w:val="00371690"/>
    <w:rsid w:val="00405E26"/>
    <w:rsid w:val="00471446"/>
    <w:rsid w:val="00493526"/>
    <w:rsid w:val="004D2476"/>
    <w:rsid w:val="004F6BCA"/>
    <w:rsid w:val="005237B8"/>
    <w:rsid w:val="005341F9"/>
    <w:rsid w:val="005B762C"/>
    <w:rsid w:val="005C619A"/>
    <w:rsid w:val="005F2A9D"/>
    <w:rsid w:val="0060493A"/>
    <w:rsid w:val="00621A55"/>
    <w:rsid w:val="00656BCA"/>
    <w:rsid w:val="00684079"/>
    <w:rsid w:val="00690093"/>
    <w:rsid w:val="006C09D0"/>
    <w:rsid w:val="00770571"/>
    <w:rsid w:val="00781A7C"/>
    <w:rsid w:val="0078292A"/>
    <w:rsid w:val="007C2CD4"/>
    <w:rsid w:val="007F587D"/>
    <w:rsid w:val="008341C7"/>
    <w:rsid w:val="008359AF"/>
    <w:rsid w:val="00843844"/>
    <w:rsid w:val="00893667"/>
    <w:rsid w:val="008957BF"/>
    <w:rsid w:val="008A2FDD"/>
    <w:rsid w:val="008E0BE5"/>
    <w:rsid w:val="00940200"/>
    <w:rsid w:val="009527E1"/>
    <w:rsid w:val="00A15235"/>
    <w:rsid w:val="00A32302"/>
    <w:rsid w:val="00A37012"/>
    <w:rsid w:val="00A471ED"/>
    <w:rsid w:val="00A50603"/>
    <w:rsid w:val="00A85348"/>
    <w:rsid w:val="00AA2877"/>
    <w:rsid w:val="00AA2AD0"/>
    <w:rsid w:val="00AF1D5E"/>
    <w:rsid w:val="00B92182"/>
    <w:rsid w:val="00BE06A0"/>
    <w:rsid w:val="00C759C3"/>
    <w:rsid w:val="00CA4235"/>
    <w:rsid w:val="00D107F9"/>
    <w:rsid w:val="00D263A3"/>
    <w:rsid w:val="00D655E9"/>
    <w:rsid w:val="00D714A2"/>
    <w:rsid w:val="00DA1F46"/>
    <w:rsid w:val="00DA736A"/>
    <w:rsid w:val="00DD55DD"/>
    <w:rsid w:val="00DF764A"/>
    <w:rsid w:val="00E179DF"/>
    <w:rsid w:val="00E53B51"/>
    <w:rsid w:val="00EB7BC7"/>
    <w:rsid w:val="00EF1BF8"/>
    <w:rsid w:val="00F21D06"/>
    <w:rsid w:val="00F364D9"/>
    <w:rsid w:val="00F52203"/>
    <w:rsid w:val="00F878D5"/>
    <w:rsid w:val="00F9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1F7B35"/>
  <w15:docId w15:val="{369E24A1-FCA9-4723-8F66-CED3A125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8D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878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8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8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8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8D5"/>
    <w:rPr>
      <w:b/>
      <w:bCs/>
      <w:sz w:val="20"/>
      <w:szCs w:val="20"/>
    </w:rPr>
  </w:style>
  <w:style w:type="paragraph" w:styleId="Sangranormal">
    <w:name w:val="Normal Indent"/>
    <w:basedOn w:val="Normal"/>
    <w:rsid w:val="0006526C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661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 Salas</dc:creator>
  <cp:lastModifiedBy>Fátima Navarro</cp:lastModifiedBy>
  <cp:revision>8</cp:revision>
  <cp:lastPrinted>2017-12-20T13:28:00Z</cp:lastPrinted>
  <dcterms:created xsi:type="dcterms:W3CDTF">2018-03-27T20:54:00Z</dcterms:created>
  <dcterms:modified xsi:type="dcterms:W3CDTF">2019-01-07T16:41:00Z</dcterms:modified>
</cp:coreProperties>
</file>