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14:paraId="2889A9DA" w14:textId="77777777" w:rsidTr="00EB7BC7">
        <w:tc>
          <w:tcPr>
            <w:tcW w:w="8978" w:type="dxa"/>
            <w:shd w:val="clear" w:color="auto" w:fill="C2D69B" w:themeFill="accent3" w:themeFillTint="99"/>
          </w:tcPr>
          <w:p w14:paraId="58FE22CB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  <w:bookmarkStart w:id="0" w:name="_GoBack"/>
        <w:bookmarkEnd w:id="0"/>
      </w:tr>
      <w:tr w:rsidR="00471446" w:rsidRPr="00BE06A0" w14:paraId="474D42AB" w14:textId="77777777" w:rsidTr="00DF764A">
        <w:tc>
          <w:tcPr>
            <w:tcW w:w="8978" w:type="dxa"/>
            <w:tcBorders>
              <w:bottom w:val="dotted" w:sz="4" w:space="0" w:color="auto"/>
            </w:tcBorders>
          </w:tcPr>
          <w:p w14:paraId="4445DD72" w14:textId="3D3205F3" w:rsidR="00471446" w:rsidRPr="00C13500" w:rsidRDefault="00C13500" w:rsidP="00FD5719">
            <w:pPr>
              <w:jc w:val="both"/>
              <w:rPr>
                <w:rFonts w:cs="Arial"/>
              </w:rPr>
            </w:pPr>
            <w:r w:rsidRPr="00BD7C6B">
              <w:rPr>
                <w:rFonts w:cs="Arial"/>
              </w:rPr>
              <w:t>E</w:t>
            </w:r>
            <w:r w:rsidR="00AD33B4">
              <w:rPr>
                <w:rFonts w:cs="Arial"/>
              </w:rPr>
              <w:t>standarizar</w:t>
            </w:r>
            <w:r w:rsidRPr="00BD7C6B">
              <w:rPr>
                <w:rFonts w:cs="Arial"/>
              </w:rPr>
              <w:t xml:space="preserve"> los requisitos para la </w:t>
            </w:r>
            <w:r w:rsidRPr="00BD7C6B">
              <w:rPr>
                <w:b/>
              </w:rPr>
              <w:t>exención</w:t>
            </w:r>
            <w:r w:rsidRPr="00BD7C6B">
              <w:rPr>
                <w:rFonts w:cs="Arial"/>
              </w:rPr>
              <w:t xml:space="preserve"> de </w:t>
            </w:r>
            <w:r w:rsidR="00AD33B4">
              <w:rPr>
                <w:rFonts w:cs="Arial"/>
              </w:rPr>
              <w:t xml:space="preserve">los estudios de investigación para la salud. </w:t>
            </w:r>
          </w:p>
        </w:tc>
      </w:tr>
      <w:tr w:rsidR="00471446" w:rsidRPr="00BE06A0" w14:paraId="71B833B5" w14:textId="77777777" w:rsidTr="00DF764A">
        <w:tc>
          <w:tcPr>
            <w:tcW w:w="8978" w:type="dxa"/>
            <w:tcBorders>
              <w:bottom w:val="nil"/>
            </w:tcBorders>
            <w:shd w:val="clear" w:color="auto" w:fill="C2D69B" w:themeFill="accent3" w:themeFillTint="99"/>
          </w:tcPr>
          <w:p w14:paraId="7A03754E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BE06A0" w14:paraId="41F65321" w14:textId="77777777" w:rsidTr="00DF764A">
        <w:tc>
          <w:tcPr>
            <w:tcW w:w="8978" w:type="dxa"/>
            <w:tcBorders>
              <w:top w:val="nil"/>
            </w:tcBorders>
          </w:tcPr>
          <w:p w14:paraId="3DB793DB" w14:textId="77777777" w:rsidR="00471446" w:rsidRDefault="00D803ED" w:rsidP="00D803ED">
            <w:pPr>
              <w:tabs>
                <w:tab w:val="left" w:pos="2550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ab/>
            </w:r>
          </w:p>
          <w:p w14:paraId="066B5BE4" w14:textId="623508D6" w:rsidR="00D803ED" w:rsidRPr="00672AB6" w:rsidRDefault="00672AB6" w:rsidP="00672AB6">
            <w:pPr>
              <w:jc w:val="both"/>
              <w:rPr>
                <w:rFonts w:cs="Arial"/>
              </w:rPr>
            </w:pPr>
            <w:r w:rsidRPr="00672AB6">
              <w:rPr>
                <w:rFonts w:cs="Arial"/>
              </w:rPr>
              <w:t xml:space="preserve"> Investigadores </w:t>
            </w:r>
            <w:r w:rsidR="00D803ED" w:rsidRPr="00672AB6">
              <w:rPr>
                <w:rFonts w:cs="Arial"/>
              </w:rPr>
              <w:t>que somet</w:t>
            </w:r>
            <w:r w:rsidRPr="00672AB6">
              <w:rPr>
                <w:rFonts w:cs="Arial"/>
              </w:rPr>
              <w:t>a</w:t>
            </w:r>
            <w:r w:rsidR="00D803ED" w:rsidRPr="00672AB6">
              <w:rPr>
                <w:rFonts w:cs="Arial"/>
              </w:rPr>
              <w:t xml:space="preserve">n </w:t>
            </w:r>
            <w:r w:rsidRPr="00672AB6">
              <w:rPr>
                <w:rFonts w:cs="Arial"/>
              </w:rPr>
              <w:t xml:space="preserve">estudios </w:t>
            </w:r>
            <w:r w:rsidR="00D803ED" w:rsidRPr="00672AB6">
              <w:rPr>
                <w:rFonts w:cs="Arial"/>
              </w:rPr>
              <w:t xml:space="preserve">para revisión </w:t>
            </w:r>
            <w:r w:rsidRPr="00672AB6">
              <w:rPr>
                <w:rFonts w:cs="Arial"/>
              </w:rPr>
              <w:t>de un Comité de Bioética de la Investigación Acreditado por el CNBI</w:t>
            </w:r>
            <w:r w:rsidR="00132F72">
              <w:rPr>
                <w:rFonts w:cs="Arial"/>
              </w:rPr>
              <w:t xml:space="preserve"> o ante el CNBI</w:t>
            </w:r>
            <w:r w:rsidRPr="00672AB6">
              <w:rPr>
                <w:rFonts w:cs="Arial"/>
              </w:rPr>
              <w:t xml:space="preserve">. </w:t>
            </w:r>
          </w:p>
          <w:p w14:paraId="42A4A90E" w14:textId="68AC86AD" w:rsidR="00D803ED" w:rsidRPr="00BE06A0" w:rsidRDefault="00D803ED" w:rsidP="00D803ED">
            <w:pPr>
              <w:tabs>
                <w:tab w:val="left" w:pos="2550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1DFF90C" w14:textId="77777777"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86215F5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471446" w:rsidRPr="00BE06A0" w14:paraId="1BBC9A93" w14:textId="77777777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14:paraId="55F10E40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AD33B4" w:rsidRPr="00BE06A0" w14:paraId="5910F736" w14:textId="77777777" w:rsidTr="000D4C57">
        <w:tc>
          <w:tcPr>
            <w:tcW w:w="2802" w:type="dxa"/>
          </w:tcPr>
          <w:p w14:paraId="2741DC6C" w14:textId="532392C2" w:rsidR="00AD33B4" w:rsidRPr="00BE06A0" w:rsidRDefault="00AD33B4" w:rsidP="004714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Exención</w:t>
            </w:r>
          </w:p>
        </w:tc>
        <w:tc>
          <w:tcPr>
            <w:tcW w:w="6176" w:type="dxa"/>
          </w:tcPr>
          <w:p w14:paraId="24B1EE55" w14:textId="137CC65B" w:rsidR="00AD33B4" w:rsidRPr="00EF2256" w:rsidRDefault="00AD33B4" w:rsidP="00FA6BE4">
            <w:pPr>
              <w:rPr>
                <w:rFonts w:cstheme="minorHAnsi"/>
                <w:i/>
                <w:iCs/>
              </w:rPr>
            </w:pPr>
            <w:r w:rsidRPr="00EF2256">
              <w:rPr>
                <w:rFonts w:cs="Arial"/>
                <w:i/>
                <w:iCs/>
              </w:rPr>
              <w:t>Franqueza y libertad que alguien (el investigador principal) goza para eximirse de alguna obligación</w:t>
            </w:r>
            <w:r w:rsidR="00672AB6" w:rsidRPr="00EF2256">
              <w:rPr>
                <w:rFonts w:cs="Arial"/>
                <w:i/>
                <w:iCs/>
              </w:rPr>
              <w:t>.</w:t>
            </w:r>
          </w:p>
        </w:tc>
      </w:tr>
      <w:tr w:rsidR="00471446" w:rsidRPr="00BE06A0" w14:paraId="6FDC4BC4" w14:textId="77777777" w:rsidTr="000D4C57">
        <w:tc>
          <w:tcPr>
            <w:tcW w:w="2802" w:type="dxa"/>
          </w:tcPr>
          <w:p w14:paraId="2D82AD67" w14:textId="4136391B" w:rsidR="00471446" w:rsidRPr="00BE06A0" w:rsidRDefault="00672AB6" w:rsidP="0047144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Riesgo Mínimo</w:t>
            </w:r>
          </w:p>
        </w:tc>
        <w:tc>
          <w:tcPr>
            <w:tcW w:w="6176" w:type="dxa"/>
          </w:tcPr>
          <w:p w14:paraId="09432482" w14:textId="7B82E44C" w:rsidR="00471446" w:rsidRPr="00EF2256" w:rsidRDefault="00D803ED" w:rsidP="00FA6BE4">
            <w:pPr>
              <w:rPr>
                <w:rFonts w:cstheme="minorHAnsi"/>
                <w:i/>
                <w:iCs/>
              </w:rPr>
            </w:pPr>
            <w:r w:rsidRPr="00EF2256">
              <w:rPr>
                <w:rFonts w:cstheme="minorHAnsi"/>
                <w:i/>
                <w:iCs/>
              </w:rPr>
              <w:t>Se entiende como investigación con riesgo mínimo aquellas en las cuales se realizan registros de datos por medio de procedimientos de rutina y si los resultados sólo resultan en un impacto mínimo y pasajero sobre la salud o bienestar/en salud comodidad de la persona: “la probabilidad y la magnitud de daño o malestar anticipados en la investigación, no son mayores que aquellos que son encontrados en la vida diaria” del participante en el estudio.</w:t>
            </w:r>
          </w:p>
        </w:tc>
      </w:tr>
    </w:tbl>
    <w:p w14:paraId="71539569" w14:textId="77777777"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E97DD0C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BE06A0" w14:paraId="32CC4510" w14:textId="77777777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14:paraId="1307F199" w14:textId="77777777" w:rsidR="00471446" w:rsidRPr="00BE06A0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BE06A0" w14:paraId="77070824" w14:textId="77777777" w:rsidTr="006D3D13">
        <w:tc>
          <w:tcPr>
            <w:tcW w:w="1951" w:type="dxa"/>
          </w:tcPr>
          <w:p w14:paraId="61823F6B" w14:textId="77777777" w:rsidR="00471446" w:rsidRPr="00BE06A0" w:rsidRDefault="001B3D19" w:rsidP="006D3D1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Secretaría Técnica</w:t>
            </w:r>
          </w:p>
        </w:tc>
        <w:tc>
          <w:tcPr>
            <w:tcW w:w="7027" w:type="dxa"/>
          </w:tcPr>
          <w:p w14:paraId="5CC7C615" w14:textId="63F5D090" w:rsidR="00471446" w:rsidRPr="00BE06A0" w:rsidRDefault="00672AB6" w:rsidP="00BB3581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Recibir todas las solicitudes de exención de revisión y presentarlas en las reuniones ordinarias del CNBI </w:t>
            </w:r>
            <w:r w:rsidR="00DE7770">
              <w:rPr>
                <w:rFonts w:cstheme="minorHAnsi"/>
                <w:i/>
                <w:sz w:val="24"/>
                <w:szCs w:val="24"/>
              </w:rPr>
              <w:t>o CBI</w:t>
            </w:r>
          </w:p>
        </w:tc>
      </w:tr>
      <w:tr w:rsidR="00672AB6" w:rsidRPr="00BE06A0" w14:paraId="0693A31C" w14:textId="77777777" w:rsidTr="006D3D13">
        <w:tc>
          <w:tcPr>
            <w:tcW w:w="1951" w:type="dxa"/>
          </w:tcPr>
          <w:p w14:paraId="450701B5" w14:textId="1BB5B1A9" w:rsidR="00672AB6" w:rsidRDefault="00672AB6" w:rsidP="006D3D13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Presidente y Miembros del C</w:t>
            </w:r>
            <w:r w:rsidR="00DE7770">
              <w:rPr>
                <w:rFonts w:cstheme="minorHAnsi"/>
                <w:i/>
                <w:sz w:val="24"/>
                <w:szCs w:val="24"/>
              </w:rPr>
              <w:t>omité</w:t>
            </w:r>
          </w:p>
        </w:tc>
        <w:tc>
          <w:tcPr>
            <w:tcW w:w="7027" w:type="dxa"/>
          </w:tcPr>
          <w:p w14:paraId="38D9620F" w14:textId="246D69E7" w:rsidR="00672AB6" w:rsidRDefault="00672AB6" w:rsidP="00BB3581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Dar respuesta a las solicitudes de exención, una vez revisado</w:t>
            </w:r>
            <w:r w:rsidR="00DE7770">
              <w:rPr>
                <w:rFonts w:cstheme="minorHAnsi"/>
                <w:i/>
                <w:sz w:val="24"/>
                <w:szCs w:val="24"/>
              </w:rPr>
              <w:t>s</w:t>
            </w:r>
            <w:r>
              <w:rPr>
                <w:rFonts w:cstheme="minorHAnsi"/>
                <w:i/>
                <w:sz w:val="24"/>
                <w:szCs w:val="24"/>
              </w:rPr>
              <w:t xml:space="preserve"> los documentos presentados por el investigador.</w:t>
            </w:r>
          </w:p>
        </w:tc>
      </w:tr>
    </w:tbl>
    <w:p w14:paraId="456B25BF" w14:textId="77777777" w:rsidR="00672AB6" w:rsidRPr="00BE06A0" w:rsidRDefault="00672AB6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14:paraId="55BFC8CF" w14:textId="77777777" w:rsidTr="00DF764A">
        <w:tc>
          <w:tcPr>
            <w:tcW w:w="8978" w:type="dxa"/>
            <w:shd w:val="clear" w:color="auto" w:fill="C2D69B" w:themeFill="accent3" w:themeFillTint="99"/>
          </w:tcPr>
          <w:p w14:paraId="02E2E6E0" w14:textId="77777777"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672AB6" w:rsidRPr="00262D3C" w14:paraId="4573B417" w14:textId="77777777" w:rsidTr="00672AB6">
        <w:tc>
          <w:tcPr>
            <w:tcW w:w="8978" w:type="dxa"/>
            <w:shd w:val="clear" w:color="auto" w:fill="auto"/>
          </w:tcPr>
          <w:p w14:paraId="24441087" w14:textId="127D6A02" w:rsidR="00F00185" w:rsidRDefault="00672AB6" w:rsidP="00262D3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62D3C">
              <w:rPr>
                <w:rFonts w:cstheme="minorHAnsi"/>
                <w:bCs/>
                <w:sz w:val="24"/>
                <w:szCs w:val="24"/>
              </w:rPr>
              <w:t>El/la investigador(a) solicita la exención para el protocolo en la carta de solicitud de e</w:t>
            </w:r>
            <w:r w:rsidR="00FD39E6">
              <w:rPr>
                <w:rFonts w:cstheme="minorHAnsi"/>
                <w:bCs/>
                <w:sz w:val="24"/>
                <w:szCs w:val="24"/>
              </w:rPr>
              <w:t>xención de revisión ética</w:t>
            </w:r>
            <w:r w:rsidRPr="00262D3C">
              <w:rPr>
                <w:rFonts w:cstheme="minorHAnsi"/>
                <w:bCs/>
                <w:sz w:val="24"/>
                <w:szCs w:val="24"/>
              </w:rPr>
              <w:t xml:space="preserve"> dirigida al presidente del Comité</w:t>
            </w:r>
            <w:r w:rsidR="00FD39E6">
              <w:rPr>
                <w:rFonts w:cstheme="minorHAnsi"/>
                <w:bCs/>
                <w:sz w:val="24"/>
                <w:szCs w:val="24"/>
              </w:rPr>
              <w:t xml:space="preserve"> en donde se justifique la solicitud de exención</w:t>
            </w:r>
            <w:r w:rsidRPr="00262D3C">
              <w:rPr>
                <w:rFonts w:cstheme="minorHAnsi"/>
                <w:bCs/>
                <w:sz w:val="24"/>
                <w:szCs w:val="24"/>
              </w:rPr>
              <w:t xml:space="preserve">, junto con </w:t>
            </w:r>
            <w:r w:rsidR="00FD39E6">
              <w:rPr>
                <w:rFonts w:cstheme="minorHAnsi"/>
                <w:bCs/>
                <w:sz w:val="24"/>
                <w:szCs w:val="24"/>
              </w:rPr>
              <w:t>el protocolo y la lista de investigadores del estudio</w:t>
            </w:r>
            <w:r w:rsidRPr="00262D3C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02C5FFC" w14:textId="093639C3" w:rsidR="00F00185" w:rsidRDefault="00672AB6" w:rsidP="00262D3C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t xml:space="preserve">El/la </w:t>
            </w:r>
            <w:proofErr w:type="gramStart"/>
            <w:r w:rsidRPr="00F00185">
              <w:rPr>
                <w:rFonts w:cstheme="minorHAnsi"/>
                <w:bCs/>
                <w:sz w:val="24"/>
                <w:szCs w:val="24"/>
              </w:rPr>
              <w:t>Presidente</w:t>
            </w:r>
            <w:proofErr w:type="gramEnd"/>
            <w:r w:rsidRPr="00F00185">
              <w:rPr>
                <w:rFonts w:cstheme="minorHAnsi"/>
                <w:bCs/>
                <w:sz w:val="24"/>
                <w:szCs w:val="24"/>
              </w:rPr>
              <w:t xml:space="preserve"> del </w:t>
            </w:r>
            <w:r w:rsidR="00F00185" w:rsidRPr="00F00185">
              <w:rPr>
                <w:rFonts w:cstheme="minorHAnsi"/>
                <w:bCs/>
                <w:sz w:val="24"/>
                <w:szCs w:val="24"/>
              </w:rPr>
              <w:t xml:space="preserve">comité </w:t>
            </w:r>
            <w:r w:rsidRPr="00F00185">
              <w:rPr>
                <w:rFonts w:cstheme="minorHAnsi"/>
                <w:bCs/>
                <w:sz w:val="24"/>
                <w:szCs w:val="24"/>
              </w:rPr>
              <w:t xml:space="preserve">asignará dos revisores al documento, </w:t>
            </w:r>
            <w:r w:rsidR="00EF2256" w:rsidRPr="00F00185">
              <w:rPr>
                <w:rFonts w:cstheme="minorHAnsi"/>
                <w:bCs/>
                <w:sz w:val="24"/>
                <w:szCs w:val="24"/>
              </w:rPr>
              <w:t>quienes revisaran</w:t>
            </w:r>
            <w:r w:rsidR="00F0018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00185">
              <w:rPr>
                <w:rFonts w:cstheme="minorHAnsi"/>
                <w:bCs/>
                <w:sz w:val="24"/>
                <w:szCs w:val="24"/>
              </w:rPr>
              <w:t>la solicitud de exención</w:t>
            </w:r>
            <w:r w:rsidR="00F00185">
              <w:rPr>
                <w:rFonts w:cstheme="minorHAnsi"/>
                <w:bCs/>
                <w:sz w:val="24"/>
                <w:szCs w:val="24"/>
              </w:rPr>
              <w:t xml:space="preserve"> y los documentos</w:t>
            </w:r>
            <w:r w:rsidRPr="00F00185">
              <w:rPr>
                <w:rFonts w:cstheme="minorHAnsi"/>
                <w:bCs/>
                <w:sz w:val="24"/>
                <w:szCs w:val="24"/>
              </w:rPr>
              <w:t xml:space="preserve"> en un periodo máximo de 1</w:t>
            </w:r>
            <w:r w:rsidR="00A144C2">
              <w:rPr>
                <w:rFonts w:cstheme="minorHAnsi"/>
                <w:bCs/>
                <w:sz w:val="24"/>
                <w:szCs w:val="24"/>
              </w:rPr>
              <w:t>0</w:t>
            </w:r>
            <w:r w:rsidRPr="00F00185">
              <w:rPr>
                <w:rFonts w:cstheme="minorHAnsi"/>
                <w:bCs/>
                <w:sz w:val="24"/>
                <w:szCs w:val="24"/>
              </w:rPr>
              <w:t xml:space="preserve"> días</w:t>
            </w:r>
            <w:r w:rsidR="00F0018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144C2">
              <w:rPr>
                <w:rFonts w:cstheme="minorHAnsi"/>
                <w:bCs/>
                <w:sz w:val="24"/>
                <w:szCs w:val="24"/>
              </w:rPr>
              <w:t>hábiles</w:t>
            </w:r>
            <w:r w:rsidRPr="00F00185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A75297B" w14:textId="050F2DE9" w:rsidR="00F00185" w:rsidRDefault="00672AB6" w:rsidP="00F0018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t>Los revisores presentaran su informe al presidente, el cual emitirá la carta oficial de exención</w:t>
            </w:r>
            <w:r w:rsidR="00A144C2">
              <w:rPr>
                <w:rFonts w:cstheme="minorHAnsi"/>
                <w:bCs/>
                <w:sz w:val="24"/>
                <w:szCs w:val="24"/>
              </w:rPr>
              <w:t xml:space="preserve"> o se le notificará el tipo de revisión que le corresponde al investigador.</w:t>
            </w:r>
          </w:p>
          <w:p w14:paraId="6C1A4653" w14:textId="2E0A53C2" w:rsidR="00F00185" w:rsidRDefault="00672AB6" w:rsidP="00A144C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lastRenderedPageBreak/>
              <w:t xml:space="preserve">En caso de </w:t>
            </w:r>
            <w:r w:rsidR="00A144C2">
              <w:rPr>
                <w:rFonts w:cstheme="minorHAnsi"/>
                <w:bCs/>
                <w:sz w:val="24"/>
                <w:szCs w:val="24"/>
              </w:rPr>
              <w:t>que no aplique la exención previa notificación al investigador</w:t>
            </w:r>
            <w:r w:rsidRPr="00F00185"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  <w:p w14:paraId="5F8C8848" w14:textId="18A01BD2" w:rsidR="00F00185" w:rsidRDefault="00A144C2" w:rsidP="00A439B2">
            <w:pPr>
              <w:pStyle w:val="Prrafodelista"/>
              <w:numPr>
                <w:ilvl w:val="1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Observaciones d</w:t>
            </w:r>
            <w:r w:rsidR="00672AB6" w:rsidRPr="00F00185">
              <w:rPr>
                <w:rFonts w:cstheme="minorHAnsi"/>
                <w:bCs/>
                <w:sz w:val="24"/>
                <w:szCs w:val="24"/>
              </w:rPr>
              <w:t>e forma: se tratará como una revisión expedita.</w:t>
            </w:r>
          </w:p>
          <w:p w14:paraId="17DE8EFE" w14:textId="77777777" w:rsidR="00EF2256" w:rsidRDefault="00EF2256" w:rsidP="00EF2256">
            <w:pPr>
              <w:pStyle w:val="Prrafodelista"/>
              <w:ind w:left="144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4B47B1C" w14:textId="77777777" w:rsidR="00F00185" w:rsidRDefault="00672AB6" w:rsidP="00262D3C">
            <w:pPr>
              <w:pStyle w:val="Prrafodelista"/>
              <w:numPr>
                <w:ilvl w:val="1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t xml:space="preserve">De fondo: se tratará como </w:t>
            </w:r>
            <w:proofErr w:type="gramStart"/>
            <w:r w:rsidRPr="00F00185">
              <w:rPr>
                <w:rFonts w:cstheme="minorHAnsi"/>
                <w:bCs/>
                <w:sz w:val="24"/>
                <w:szCs w:val="24"/>
              </w:rPr>
              <w:t>un revisión regular</w:t>
            </w:r>
            <w:proofErr w:type="gramEnd"/>
            <w:r w:rsidRPr="00F00185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FE2CEE6" w14:textId="77777777" w:rsidR="00F00185" w:rsidRDefault="00F00185" w:rsidP="00F001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CD7F1A7" w14:textId="2034C19E" w:rsidR="00F00185" w:rsidRDefault="00672AB6" w:rsidP="002911E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t>Para aprobar la exención el CB</w:t>
            </w:r>
            <w:r w:rsidR="00132F72">
              <w:rPr>
                <w:rFonts w:cstheme="minorHAnsi"/>
                <w:bCs/>
                <w:sz w:val="24"/>
                <w:szCs w:val="24"/>
              </w:rPr>
              <w:t>I</w:t>
            </w:r>
            <w:r w:rsidRPr="00F00185">
              <w:rPr>
                <w:rFonts w:cstheme="minorHAnsi"/>
                <w:bCs/>
                <w:sz w:val="24"/>
                <w:szCs w:val="24"/>
              </w:rPr>
              <w:t xml:space="preserve"> tomará en cuenta:</w:t>
            </w:r>
          </w:p>
          <w:p w14:paraId="6209C7E0" w14:textId="77777777" w:rsidR="00F00185" w:rsidRDefault="00672AB6" w:rsidP="00F00185">
            <w:pPr>
              <w:pStyle w:val="Prrafodelista"/>
              <w:numPr>
                <w:ilvl w:val="1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t>La validez científica, el valor y bienestar social y el riesgo de daño a los participantes y a la comunidad o grupo.</w:t>
            </w:r>
          </w:p>
          <w:p w14:paraId="6A1318A7" w14:textId="79A5B9C6" w:rsidR="00F00185" w:rsidRDefault="00672AB6" w:rsidP="00F00185">
            <w:pPr>
              <w:pStyle w:val="Prrafodelista"/>
              <w:numPr>
                <w:ilvl w:val="1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t>La integridad de los y las participantes en la investigación y la debida protección de su salud física y mental.</w:t>
            </w:r>
          </w:p>
          <w:p w14:paraId="02419683" w14:textId="1F9D214C" w:rsidR="00672AB6" w:rsidRPr="00F00185" w:rsidRDefault="00672AB6" w:rsidP="00F00185">
            <w:pPr>
              <w:pStyle w:val="Prrafodelista"/>
              <w:numPr>
                <w:ilvl w:val="1"/>
                <w:numId w:val="10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t>Las medidas de salvaguardia de la privacidad de los participantes y confidencialidad de los datos recogidos en la investigación (evitar daño por revelación de información).</w:t>
            </w:r>
          </w:p>
          <w:p w14:paraId="0EF8B8D3" w14:textId="77777777" w:rsidR="00F00185" w:rsidRDefault="00F00185" w:rsidP="00F0018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1923DBE" w14:textId="22576CE1" w:rsidR="00F00185" w:rsidRPr="00F00185" w:rsidRDefault="00F00185" w:rsidP="00F001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00185">
              <w:rPr>
                <w:rFonts w:cstheme="minorHAnsi"/>
                <w:b/>
                <w:sz w:val="24"/>
                <w:szCs w:val="24"/>
              </w:rPr>
              <w:t>La exención no aplica para las investigaciones biomédicas y clínicas.</w:t>
            </w:r>
          </w:p>
          <w:p w14:paraId="59FA4838" w14:textId="77777777" w:rsidR="00F00185" w:rsidRDefault="00F00185" w:rsidP="00262D3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E043695" w14:textId="7E97AB69" w:rsidR="00F00185" w:rsidRDefault="00EF2256" w:rsidP="00262D3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La </w:t>
            </w:r>
            <w:r w:rsidR="00672AB6" w:rsidRPr="00262D3C">
              <w:rPr>
                <w:rFonts w:cstheme="minorHAnsi"/>
                <w:bCs/>
                <w:sz w:val="24"/>
                <w:szCs w:val="24"/>
              </w:rPr>
              <w:t>Exención de revisión de un proyecto de Investigació</w:t>
            </w:r>
            <w:r w:rsidR="00F00185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se dará cuando se </w:t>
            </w:r>
            <w:r w:rsidR="00672AB6" w:rsidRPr="00262D3C">
              <w:rPr>
                <w:rFonts w:cstheme="minorHAnsi"/>
                <w:bCs/>
                <w:sz w:val="24"/>
                <w:szCs w:val="24"/>
              </w:rPr>
              <w:t xml:space="preserve">utiliza una de las metodologías siguientes: </w:t>
            </w:r>
          </w:p>
          <w:p w14:paraId="1B97C59F" w14:textId="77777777" w:rsidR="00EF2256" w:rsidRDefault="00EF2256" w:rsidP="00262D3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6865DB3" w14:textId="77777777" w:rsidR="00F00185" w:rsidRDefault="00672AB6" w:rsidP="00F0018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t>Investigación por encuesta o cuestionario anónimo para adultos escritas, registradas o por internet que NO incluyen preguntas de índole étnico discriminatorio, preguntas personales (por ejemplo: identidad y domicilio, religión, orientación y actividad sexual del sujeto, enfermedades que conllevan un estigma asociado con ellas), preguntas sobre violencia u otra situación/enfermedad de notificación obligatoria según las leyes nacionales.</w:t>
            </w:r>
          </w:p>
          <w:p w14:paraId="60F74FE8" w14:textId="77777777" w:rsidR="00F00185" w:rsidRDefault="00F00185" w:rsidP="00F0018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00185">
              <w:rPr>
                <w:rFonts w:cstheme="minorHAnsi"/>
                <w:bCs/>
                <w:sz w:val="24"/>
                <w:szCs w:val="24"/>
              </w:rPr>
              <w:t>I</w:t>
            </w:r>
            <w:r w:rsidR="00672AB6" w:rsidRPr="00F00185">
              <w:rPr>
                <w:rFonts w:cstheme="minorHAnsi"/>
                <w:bCs/>
                <w:sz w:val="24"/>
                <w:szCs w:val="24"/>
              </w:rPr>
              <w:t xml:space="preserve">nvestigación basada en observación en sitios públicos sin toma de fotografías ni videos.  </w:t>
            </w:r>
          </w:p>
          <w:p w14:paraId="7DC87261" w14:textId="77777777" w:rsidR="00EF2256" w:rsidRDefault="00F00185" w:rsidP="00873ED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bCs/>
              </w:rPr>
            </w:pPr>
            <w:r w:rsidRPr="00EF2256">
              <w:rPr>
                <w:rFonts w:cstheme="minorHAnsi"/>
                <w:bCs/>
                <w:sz w:val="24"/>
                <w:szCs w:val="24"/>
              </w:rPr>
              <w:t>I</w:t>
            </w:r>
            <w:r w:rsidR="00672AB6" w:rsidRPr="00EF2256">
              <w:rPr>
                <w:rFonts w:cs="Arial"/>
                <w:bCs/>
              </w:rPr>
              <w:t xml:space="preserve">nvestigación bioestadística y/o epidemiológica genérica, (por </w:t>
            </w:r>
            <w:proofErr w:type="gramStart"/>
            <w:r w:rsidR="00672AB6" w:rsidRPr="00EF2256">
              <w:rPr>
                <w:rFonts w:cs="Arial"/>
                <w:bCs/>
              </w:rPr>
              <w:t>ejemplo</w:t>
            </w:r>
            <w:proofErr w:type="gramEnd"/>
            <w:r w:rsidR="00672AB6" w:rsidRPr="00EF2256">
              <w:rPr>
                <w:rFonts w:cs="Arial"/>
                <w:bCs/>
              </w:rPr>
              <w:t xml:space="preserve"> uso de data secundaria y/o data agregada, asociaciones geográficas a datos de encuestas o indicadores de niveles de salud comunitarios) que no utiliza identificadores de sujetos, datos privados o información restringida;</w:t>
            </w:r>
          </w:p>
          <w:p w14:paraId="56E03B06" w14:textId="77777777" w:rsidR="00EF2256" w:rsidRDefault="00672AB6" w:rsidP="00E166BF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bCs/>
              </w:rPr>
            </w:pPr>
            <w:r w:rsidRPr="00EF2256">
              <w:rPr>
                <w:rFonts w:cs="Arial"/>
                <w:bCs/>
              </w:rPr>
              <w:t xml:space="preserve">Investigación por mandato de las autoridades del gobierno o de organizaciones oficiales internacionales que no requieren encuestas o entrevistas sobre datos personales. </w:t>
            </w:r>
          </w:p>
          <w:p w14:paraId="349BB44B" w14:textId="0DDCB560" w:rsidR="00EF2256" w:rsidRPr="00EF2256" w:rsidRDefault="00EF2256" w:rsidP="00EC3E6F">
            <w:pPr>
              <w:pStyle w:val="Prrafodelista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EF2256">
              <w:rPr>
                <w:rFonts w:cs="Arial"/>
                <w:bCs/>
              </w:rPr>
              <w:t>Investigación no intervencionista</w:t>
            </w:r>
            <w:r w:rsidR="00672AB6" w:rsidRPr="00EF2256">
              <w:rPr>
                <w:rFonts w:cs="Arial"/>
                <w:bCs/>
              </w:rPr>
              <w:t>: uso de muestras biológicas anonimizadas para investigación básica.</w:t>
            </w:r>
          </w:p>
          <w:p w14:paraId="74335FF9" w14:textId="77777777" w:rsidR="00EF2256" w:rsidRPr="00EF2256" w:rsidRDefault="00672AB6" w:rsidP="00BB68BB">
            <w:pPr>
              <w:pStyle w:val="Prrafodelista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EF2256">
              <w:rPr>
                <w:rFonts w:cs="Arial"/>
                <w:bCs/>
              </w:rPr>
              <w:t xml:space="preserve">Estudios anónimos de mercado. </w:t>
            </w:r>
          </w:p>
          <w:p w14:paraId="4EB6D08C" w14:textId="77777777" w:rsidR="00EF2256" w:rsidRPr="00EF2256" w:rsidRDefault="00672AB6" w:rsidP="005051B5">
            <w:pPr>
              <w:pStyle w:val="Prrafodelista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EF2256">
              <w:rPr>
                <w:rFonts w:cs="Arial"/>
                <w:bCs/>
              </w:rPr>
              <w:t xml:space="preserve">Sondeos anónimos periodísticos o de censo. </w:t>
            </w:r>
          </w:p>
          <w:p w14:paraId="2DE901CA" w14:textId="095AC5D3" w:rsidR="00EF2256" w:rsidRPr="00EF2256" w:rsidRDefault="00672AB6" w:rsidP="00635B39">
            <w:pPr>
              <w:pStyle w:val="Prrafodelista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EF2256">
              <w:rPr>
                <w:rFonts w:cs="Arial"/>
                <w:bCs/>
              </w:rPr>
              <w:t xml:space="preserve">Actividades educativas: proyecto de investigación de estudiantes con fines formativos </w:t>
            </w:r>
            <w:r w:rsidRPr="00EF2256">
              <w:rPr>
                <w:rFonts w:cs="Arial"/>
                <w:bCs/>
              </w:rPr>
              <w:lastRenderedPageBreak/>
              <w:t>en el marco de una asignatura, en el término de un semestre o menos</w:t>
            </w:r>
            <w:r w:rsidR="00EF2256">
              <w:rPr>
                <w:rFonts w:cs="Arial"/>
                <w:bCs/>
              </w:rPr>
              <w:t xml:space="preserve"> y con riesgos mínimos. </w:t>
            </w:r>
          </w:p>
          <w:p w14:paraId="3F9668C2" w14:textId="67ADAF44" w:rsidR="00672AB6" w:rsidRPr="00EF2256" w:rsidRDefault="00672AB6" w:rsidP="00635B39">
            <w:pPr>
              <w:pStyle w:val="Prrafodelista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EF2256">
              <w:rPr>
                <w:rFonts w:cs="Arial"/>
                <w:bCs/>
              </w:rPr>
              <w:t xml:space="preserve">Evaluación de programas o de instrumentos de investigación. </w:t>
            </w:r>
          </w:p>
          <w:p w14:paraId="29693DC7" w14:textId="5F4E45B6" w:rsidR="00262D3C" w:rsidRPr="00FD39E6" w:rsidRDefault="00262D3C" w:rsidP="00FD39E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6EF93E7" w14:textId="77777777" w:rsidR="00471446" w:rsidRPr="00262D3C" w:rsidRDefault="00471446" w:rsidP="00471446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09BE8A" w14:textId="77777777" w:rsidR="00A85348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14:paraId="3981D036" w14:textId="77777777" w:rsidTr="00DF764A">
        <w:tc>
          <w:tcPr>
            <w:tcW w:w="8978" w:type="dxa"/>
            <w:shd w:val="clear" w:color="auto" w:fill="C2D69B" w:themeFill="accent3" w:themeFillTint="99"/>
          </w:tcPr>
          <w:p w14:paraId="20DF81C3" w14:textId="77777777" w:rsidR="00471446" w:rsidRPr="00BE06A0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BE06A0" w14:paraId="442D44D6" w14:textId="77777777" w:rsidTr="006D3D13">
        <w:tc>
          <w:tcPr>
            <w:tcW w:w="8978" w:type="dxa"/>
          </w:tcPr>
          <w:p w14:paraId="3819786A" w14:textId="76BDB5A6" w:rsidR="00BB3581" w:rsidRPr="00BE06A0" w:rsidRDefault="00BB3581" w:rsidP="006D3D13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7B6A6C7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528DC62" w14:textId="77777777" w:rsidR="001546EB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BE06A0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546EB" w:rsidRPr="00BE06A0" w14:paraId="39D7D4FA" w14:textId="77777777" w:rsidTr="00DF764A">
        <w:tc>
          <w:tcPr>
            <w:tcW w:w="8978" w:type="dxa"/>
            <w:shd w:val="clear" w:color="auto" w:fill="C2D69B" w:themeFill="accent3" w:themeFillTint="99"/>
            <w:vAlign w:val="center"/>
          </w:tcPr>
          <w:p w14:paraId="1B9B8F5E" w14:textId="77777777" w:rsidR="001546EB" w:rsidRPr="00BE06A0" w:rsidRDefault="001546EB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A4235" w:rsidRPr="00BE06A0" w14:paraId="172E05BA" w14:textId="77777777" w:rsidTr="00BE06A0">
        <w:tc>
          <w:tcPr>
            <w:tcW w:w="2244" w:type="dxa"/>
            <w:shd w:val="clear" w:color="auto" w:fill="C2D69B" w:themeFill="accent3" w:themeFillTint="99"/>
            <w:vAlign w:val="center"/>
          </w:tcPr>
          <w:p w14:paraId="28124DC5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14:paraId="613E34F6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2A82BCA0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48B183E" w14:textId="77777777"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BE06A0" w14:paraId="07FC5ED5" w14:textId="77777777" w:rsidTr="00471446">
        <w:tc>
          <w:tcPr>
            <w:tcW w:w="2244" w:type="dxa"/>
            <w:vAlign w:val="center"/>
          </w:tcPr>
          <w:p w14:paraId="5B9E6625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66C16E68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25B58B3C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40AB5583" w14:textId="77777777"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7CEB57E" w14:textId="77777777" w:rsidR="00CA4235" w:rsidRPr="00BE06A0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1769D22F" w14:textId="77777777" w:rsidR="00843844" w:rsidRPr="00BE06A0" w:rsidRDefault="00843844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51B115BD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245"/>
        <w:gridCol w:w="2245"/>
      </w:tblGrid>
      <w:tr w:rsidR="001335DF" w:rsidRPr="00BE06A0" w14:paraId="1FC02957" w14:textId="77777777" w:rsidTr="00DA736A">
        <w:tc>
          <w:tcPr>
            <w:tcW w:w="8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119BC423" w14:textId="77777777" w:rsidR="001335DF" w:rsidRPr="00BE06A0" w:rsidRDefault="001335DF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BE06A0" w14:paraId="68948933" w14:textId="77777777" w:rsidTr="00DA736A">
        <w:tc>
          <w:tcPr>
            <w:tcW w:w="4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29FEB20B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2B0115C2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63AC6B12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14:paraId="45C4FCFA" w14:textId="77777777" w:rsidTr="00DA736A">
        <w:trPr>
          <w:trHeight w:val="469"/>
        </w:trPr>
        <w:tc>
          <w:tcPr>
            <w:tcW w:w="4488" w:type="dxa"/>
            <w:tcBorders>
              <w:top w:val="dotted" w:sz="4" w:space="0" w:color="auto"/>
            </w:tcBorders>
            <w:vAlign w:val="center"/>
          </w:tcPr>
          <w:p w14:paraId="028ECD33" w14:textId="77777777" w:rsidR="00A85348" w:rsidRPr="00BE06A0" w:rsidRDefault="00A85348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3B62D4E6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598E5E50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BE06A0" w14:paraId="2DD51323" w14:textId="77777777" w:rsidTr="00DA736A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14:paraId="3129DB76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BE06A0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BE06A0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BE06A0" w14:paraId="7CA32AF5" w14:textId="77777777" w:rsidTr="00DA736A">
        <w:tc>
          <w:tcPr>
            <w:tcW w:w="4488" w:type="dxa"/>
            <w:shd w:val="clear" w:color="auto" w:fill="C2D69B" w:themeFill="accent3" w:themeFillTint="99"/>
            <w:vAlign w:val="center"/>
          </w:tcPr>
          <w:p w14:paraId="624BF450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16E88FA9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14:paraId="72DBFDC4" w14:textId="77777777" w:rsidR="0060493A" w:rsidRPr="00BE06A0" w:rsidRDefault="0060493A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14:paraId="28A6732E" w14:textId="77777777" w:rsidTr="006D3D13">
        <w:trPr>
          <w:trHeight w:val="469"/>
        </w:trPr>
        <w:tc>
          <w:tcPr>
            <w:tcW w:w="4488" w:type="dxa"/>
            <w:vAlign w:val="center"/>
          </w:tcPr>
          <w:p w14:paraId="1AB3E26E" w14:textId="77777777"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025F52" w14:textId="77777777"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0F7999" w14:textId="77777777" w:rsidR="0060493A" w:rsidRPr="00BE06A0" w:rsidRDefault="008341C7" w:rsidP="00843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Presidente del C</w:t>
            </w:r>
            <w:r w:rsidR="00843844" w:rsidRPr="00BE06A0">
              <w:rPr>
                <w:rFonts w:cstheme="minorHAnsi"/>
                <w:sz w:val="24"/>
                <w:szCs w:val="24"/>
              </w:rPr>
              <w:t>NBI</w:t>
            </w:r>
          </w:p>
        </w:tc>
        <w:tc>
          <w:tcPr>
            <w:tcW w:w="2245" w:type="dxa"/>
            <w:vAlign w:val="center"/>
          </w:tcPr>
          <w:p w14:paraId="5CB8ADE3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33F3BD00" w14:textId="77777777" w:rsidR="0060493A" w:rsidRPr="00BE06A0" w:rsidRDefault="0060493A" w:rsidP="006D3D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49D7ECF" w14:textId="77777777" w:rsidR="00CA4235" w:rsidRPr="00BE06A0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BE06A0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DFC5" w14:textId="77777777" w:rsidR="006055BD" w:rsidRDefault="006055BD" w:rsidP="00CA4235">
      <w:pPr>
        <w:spacing w:after="0" w:line="240" w:lineRule="auto"/>
      </w:pPr>
      <w:r>
        <w:separator/>
      </w:r>
    </w:p>
  </w:endnote>
  <w:endnote w:type="continuationSeparator" w:id="0">
    <w:p w14:paraId="0FD8D212" w14:textId="77777777" w:rsidR="006055BD" w:rsidRDefault="006055BD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D5A7" w14:textId="77777777" w:rsidR="000053C5" w:rsidRPr="0060493A" w:rsidRDefault="000053C5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 Investigación</w:t>
    </w:r>
  </w:p>
  <w:p w14:paraId="585045B4" w14:textId="16A40196" w:rsidR="000053C5" w:rsidRDefault="000053C5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EF2256" w:rsidRPr="00EF225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4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fldSimple w:instr="NUMPAGES  \* Arabic  \* MERGEFORMAT">
      <w:r w:rsidR="00EF2256" w:rsidRPr="00EF2256">
        <w:rPr>
          <w:rFonts w:ascii="Arial" w:hAnsi="Arial" w:cs="Arial"/>
          <w:b/>
          <w:i/>
          <w:noProof/>
          <w:color w:val="000000" w:themeColor="text1"/>
          <w:sz w:val="16"/>
          <w:szCs w:val="16"/>
          <w:lang w:val="es-ES"/>
        </w:rPr>
        <w:t>4</w:t>
      </w:r>
    </w:fldSimple>
  </w:p>
  <w:p w14:paraId="1A8EE2A9" w14:textId="77777777" w:rsidR="000053C5" w:rsidRPr="0060493A" w:rsidRDefault="000053C5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DA54F" w14:textId="77777777" w:rsidR="006055BD" w:rsidRDefault="006055BD" w:rsidP="00CA4235">
      <w:pPr>
        <w:spacing w:after="0" w:line="240" w:lineRule="auto"/>
      </w:pPr>
      <w:r>
        <w:separator/>
      </w:r>
    </w:p>
  </w:footnote>
  <w:footnote w:type="continuationSeparator" w:id="0">
    <w:p w14:paraId="68D3C7DE" w14:textId="77777777" w:rsidR="006055BD" w:rsidRDefault="006055BD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10" w:type="dxa"/>
      <w:tblInd w:w="-37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149"/>
      <w:gridCol w:w="6661"/>
    </w:tblGrid>
    <w:tr w:rsidR="00F47D34" w14:paraId="3EA2C1BB" w14:textId="77777777" w:rsidTr="00F47D34">
      <w:trPr>
        <w:trHeight w:val="437"/>
      </w:trPr>
      <w:tc>
        <w:tcPr>
          <w:tcW w:w="314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0612261" w14:textId="77777777" w:rsidR="00F47D34" w:rsidRDefault="00F47D34" w:rsidP="00F47D34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val="es-ES" w:eastAsia="es-ES"/>
            </w:rPr>
            <w:drawing>
              <wp:inline distT="0" distB="0" distL="0" distR="0" wp14:anchorId="4B0302DE" wp14:editId="4D91DBDC">
                <wp:extent cx="1296733" cy="628650"/>
                <wp:effectExtent l="19050" t="0" r="0" b="0"/>
                <wp:docPr id="2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es-MX"/>
            </w:rPr>
            <w:t xml:space="preserve"> </w:t>
          </w:r>
        </w:p>
      </w:tc>
      <w:tc>
        <w:tcPr>
          <w:tcW w:w="66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70D67B" w14:textId="77777777" w:rsidR="00F47D34" w:rsidRDefault="00F47D34" w:rsidP="00F47D34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</w:t>
          </w:r>
        </w:p>
        <w:p w14:paraId="48E0EE19" w14:textId="77777777" w:rsidR="00F47D34" w:rsidRPr="00BE06A0" w:rsidRDefault="00F47D34" w:rsidP="00F47D3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BE06A0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BE06A0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781AFE82" w14:textId="77777777" w:rsidR="00F47D34" w:rsidRDefault="00F47D34" w:rsidP="00F47D34">
          <w:pPr>
            <w:pStyle w:val="Piedepgina"/>
            <w:ind w:left="884" w:hanging="884"/>
            <w:jc w:val="center"/>
            <w:rPr>
              <w:rFonts w:ascii="Arial" w:hAnsi="Arial" w:cs="Arial"/>
              <w:b/>
              <w:sz w:val="20"/>
            </w:rPr>
          </w:pPr>
          <w:r w:rsidRPr="00BE06A0">
            <w:rPr>
              <w:rFonts w:cstheme="minorHAnsi"/>
              <w:b/>
              <w:sz w:val="24"/>
              <w:szCs w:val="24"/>
            </w:rPr>
            <w:t>Plantilla de Trabajo</w:t>
          </w:r>
        </w:p>
      </w:tc>
    </w:tr>
    <w:tr w:rsidR="00F47D34" w14:paraId="6F13B2D5" w14:textId="77777777" w:rsidTr="00F47D34">
      <w:trPr>
        <w:trHeight w:val="294"/>
      </w:trPr>
      <w:tc>
        <w:tcPr>
          <w:tcW w:w="314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14:paraId="04EEEA32" w14:textId="7D2623CE" w:rsidR="00F47D34" w:rsidRPr="00D655E9" w:rsidRDefault="00F47D34" w:rsidP="00F47D34">
          <w:pPr>
            <w:pStyle w:val="Piedepgina"/>
            <w:jc w:val="center"/>
            <w:rPr>
              <w:rFonts w:cstheme="minorHAnsi"/>
              <w:b/>
              <w:szCs w:val="24"/>
            </w:rPr>
          </w:pPr>
          <w:r w:rsidRPr="00D655E9">
            <w:rPr>
              <w:rFonts w:cstheme="minorHAnsi"/>
              <w:b/>
              <w:szCs w:val="24"/>
            </w:rPr>
            <w:t>Código: P</w:t>
          </w:r>
          <w:r>
            <w:rPr>
              <w:rFonts w:cstheme="minorHAnsi"/>
              <w:b/>
              <w:szCs w:val="24"/>
            </w:rPr>
            <w:t>O-02</w:t>
          </w:r>
          <w:r>
            <w:rPr>
              <w:rFonts w:cstheme="minorHAnsi"/>
              <w:b/>
              <w:szCs w:val="24"/>
            </w:rPr>
            <w:t>4</w:t>
          </w:r>
        </w:p>
        <w:p w14:paraId="5C9B29AC" w14:textId="77777777" w:rsidR="00F47D34" w:rsidRPr="00BE06A0" w:rsidRDefault="00F47D34" w:rsidP="00F47D3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66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197292F" w14:textId="6ACD9348" w:rsidR="00F47D34" w:rsidRPr="005B4E6D" w:rsidRDefault="00F47D34" w:rsidP="00F47D34">
          <w:pPr>
            <w:pStyle w:val="Piedepgina"/>
            <w:jc w:val="both"/>
            <w:rPr>
              <w:rFonts w:ascii="Arial" w:hAnsi="Arial" w:cs="Arial"/>
              <w:b/>
              <w:color w:val="222222"/>
              <w:sz w:val="19"/>
              <w:szCs w:val="19"/>
              <w:shd w:val="clear" w:color="auto" w:fill="FFFFFF"/>
            </w:rPr>
          </w:pPr>
          <w:r w:rsidRPr="005B4E6D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/>
              <w:sz w:val="24"/>
              <w:szCs w:val="24"/>
            </w:rPr>
            <w:t>Procedimiento Operativo para Exención de Revisión de Protocolos de investigación</w:t>
          </w:r>
        </w:p>
      </w:tc>
    </w:tr>
    <w:tr w:rsidR="00F47D34" w14:paraId="63623E75" w14:textId="77777777" w:rsidTr="00F47D34">
      <w:trPr>
        <w:trHeight w:val="294"/>
      </w:trPr>
      <w:tc>
        <w:tcPr>
          <w:tcW w:w="314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14:paraId="61C08F83" w14:textId="77777777" w:rsidR="00F47D34" w:rsidRPr="00D655E9" w:rsidRDefault="00F47D34" w:rsidP="00F47D34">
          <w:pPr>
            <w:pStyle w:val="Piedepgina"/>
            <w:jc w:val="center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t>Versión 1.0</w:t>
          </w:r>
        </w:p>
      </w:tc>
      <w:tc>
        <w:tcPr>
          <w:tcW w:w="66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4E716D" w14:textId="097FBE88" w:rsidR="00F47D34" w:rsidRPr="00BE06A0" w:rsidRDefault="00F47D34" w:rsidP="00F47D34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>
            <w:rPr>
              <w:rFonts w:cstheme="minorHAnsi"/>
              <w:sz w:val="24"/>
              <w:szCs w:val="24"/>
            </w:rPr>
            <w:t>Octubre</w:t>
          </w:r>
          <w:proofErr w:type="gramEnd"/>
          <w:r>
            <w:rPr>
              <w:rFonts w:cstheme="minorHAnsi"/>
              <w:sz w:val="24"/>
              <w:szCs w:val="24"/>
            </w:rPr>
            <w:t xml:space="preserve"> 2019 </w:t>
          </w:r>
        </w:p>
      </w:tc>
    </w:tr>
  </w:tbl>
  <w:p w14:paraId="18BC7283" w14:textId="77777777" w:rsidR="000053C5" w:rsidRDefault="000053C5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BE02DE5C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33F76"/>
    <w:multiLevelType w:val="hybridMultilevel"/>
    <w:tmpl w:val="84124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1E40"/>
    <w:multiLevelType w:val="hybridMultilevel"/>
    <w:tmpl w:val="5EFE9A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929"/>
    <w:multiLevelType w:val="hybridMultilevel"/>
    <w:tmpl w:val="627A6CA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1E8"/>
    <w:multiLevelType w:val="hybridMultilevel"/>
    <w:tmpl w:val="EE6C578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41EE9"/>
    <w:multiLevelType w:val="multilevel"/>
    <w:tmpl w:val="79401E06"/>
    <w:lvl w:ilvl="0">
      <w:start w:val="4"/>
      <w:numFmt w:val="decimal"/>
      <w:lvlText w:val="%1."/>
      <w:lvlJc w:val="left"/>
      <w:pPr>
        <w:ind w:left="380" w:hanging="380"/>
      </w:pPr>
      <w:rPr>
        <w:rFonts w:cstheme="minorBid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theme="minorBid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F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FF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FF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FF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FF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FF"/>
        <w:sz w:val="24"/>
      </w:rPr>
    </w:lvl>
  </w:abstractNum>
  <w:abstractNum w:abstractNumId="7" w15:restartNumberingAfterBreak="0">
    <w:nsid w:val="34573201"/>
    <w:multiLevelType w:val="hybridMultilevel"/>
    <w:tmpl w:val="3B128D24"/>
    <w:lvl w:ilvl="0" w:tplc="C4E2B0C0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7B1D"/>
    <w:multiLevelType w:val="hybridMultilevel"/>
    <w:tmpl w:val="D4FC4CFE"/>
    <w:lvl w:ilvl="0" w:tplc="C4E2B0C0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54B5D"/>
    <w:multiLevelType w:val="hybridMultilevel"/>
    <w:tmpl w:val="FDB245D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E2793"/>
    <w:multiLevelType w:val="hybridMultilevel"/>
    <w:tmpl w:val="85E2B4E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6B35"/>
    <w:multiLevelType w:val="hybridMultilevel"/>
    <w:tmpl w:val="AE7A15A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540A0019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3949DA"/>
    <w:multiLevelType w:val="hybridMultilevel"/>
    <w:tmpl w:val="8D625EB0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540A0019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C62FD9"/>
    <w:multiLevelType w:val="hybridMultilevel"/>
    <w:tmpl w:val="CB32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678B"/>
    <w:multiLevelType w:val="hybridMultilevel"/>
    <w:tmpl w:val="0D4200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861A7"/>
    <w:multiLevelType w:val="multilevel"/>
    <w:tmpl w:val="D764D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67181F"/>
    <w:multiLevelType w:val="hybridMultilevel"/>
    <w:tmpl w:val="1488EEB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2762"/>
    <w:multiLevelType w:val="hybridMultilevel"/>
    <w:tmpl w:val="32461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7121C"/>
    <w:multiLevelType w:val="hybridMultilevel"/>
    <w:tmpl w:val="F898758A"/>
    <w:lvl w:ilvl="0" w:tplc="DEAAC5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57" w:hanging="360"/>
      </w:pPr>
    </w:lvl>
    <w:lvl w:ilvl="2" w:tplc="180A001B" w:tentative="1">
      <w:start w:val="1"/>
      <w:numFmt w:val="lowerRoman"/>
      <w:lvlText w:val="%3."/>
      <w:lvlJc w:val="right"/>
      <w:pPr>
        <w:ind w:left="1877" w:hanging="180"/>
      </w:pPr>
    </w:lvl>
    <w:lvl w:ilvl="3" w:tplc="180A000F" w:tentative="1">
      <w:start w:val="1"/>
      <w:numFmt w:val="decimal"/>
      <w:lvlText w:val="%4."/>
      <w:lvlJc w:val="left"/>
      <w:pPr>
        <w:ind w:left="2597" w:hanging="360"/>
      </w:pPr>
    </w:lvl>
    <w:lvl w:ilvl="4" w:tplc="180A0019" w:tentative="1">
      <w:start w:val="1"/>
      <w:numFmt w:val="lowerLetter"/>
      <w:lvlText w:val="%5."/>
      <w:lvlJc w:val="left"/>
      <w:pPr>
        <w:ind w:left="3317" w:hanging="360"/>
      </w:pPr>
    </w:lvl>
    <w:lvl w:ilvl="5" w:tplc="180A001B" w:tentative="1">
      <w:start w:val="1"/>
      <w:numFmt w:val="lowerRoman"/>
      <w:lvlText w:val="%6."/>
      <w:lvlJc w:val="right"/>
      <w:pPr>
        <w:ind w:left="4037" w:hanging="180"/>
      </w:pPr>
    </w:lvl>
    <w:lvl w:ilvl="6" w:tplc="180A000F" w:tentative="1">
      <w:start w:val="1"/>
      <w:numFmt w:val="decimal"/>
      <w:lvlText w:val="%7."/>
      <w:lvlJc w:val="left"/>
      <w:pPr>
        <w:ind w:left="4757" w:hanging="360"/>
      </w:pPr>
    </w:lvl>
    <w:lvl w:ilvl="7" w:tplc="180A0019" w:tentative="1">
      <w:start w:val="1"/>
      <w:numFmt w:val="lowerLetter"/>
      <w:lvlText w:val="%8."/>
      <w:lvlJc w:val="left"/>
      <w:pPr>
        <w:ind w:left="5477" w:hanging="360"/>
      </w:pPr>
    </w:lvl>
    <w:lvl w:ilvl="8" w:tplc="1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0">
    <w:nsid w:val="7C6F078A"/>
    <w:multiLevelType w:val="hybridMultilevel"/>
    <w:tmpl w:val="70F4A548"/>
    <w:lvl w:ilvl="0" w:tplc="180A0017">
      <w:start w:val="1"/>
      <w:numFmt w:val="lowerLetter"/>
      <w:lvlText w:val="%1)"/>
      <w:lvlJc w:val="left"/>
      <w:pPr>
        <w:ind w:left="1068" w:hanging="360"/>
      </w:p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0715AD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0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17"/>
  </w:num>
  <w:num w:numId="10">
    <w:abstractNumId w:val="10"/>
  </w:num>
  <w:num w:numId="11">
    <w:abstractNumId w:val="16"/>
  </w:num>
  <w:num w:numId="12">
    <w:abstractNumId w:val="5"/>
  </w:num>
  <w:num w:numId="13">
    <w:abstractNumId w:val="19"/>
  </w:num>
  <w:num w:numId="14">
    <w:abstractNumId w:val="11"/>
  </w:num>
  <w:num w:numId="15">
    <w:abstractNumId w:val="4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E5"/>
    <w:rsid w:val="000053C5"/>
    <w:rsid w:val="000578D4"/>
    <w:rsid w:val="0008289E"/>
    <w:rsid w:val="000D10DC"/>
    <w:rsid w:val="000D4C57"/>
    <w:rsid w:val="000E7608"/>
    <w:rsid w:val="00100BF5"/>
    <w:rsid w:val="00132F72"/>
    <w:rsid w:val="001335DF"/>
    <w:rsid w:val="001546EB"/>
    <w:rsid w:val="001B286C"/>
    <w:rsid w:val="001B3D19"/>
    <w:rsid w:val="001B7362"/>
    <w:rsid w:val="001F65FC"/>
    <w:rsid w:val="00262D3C"/>
    <w:rsid w:val="002A2AC2"/>
    <w:rsid w:val="002C345D"/>
    <w:rsid w:val="00371690"/>
    <w:rsid w:val="003778AF"/>
    <w:rsid w:val="004448B4"/>
    <w:rsid w:val="004625FC"/>
    <w:rsid w:val="00471446"/>
    <w:rsid w:val="00493526"/>
    <w:rsid w:val="004D2476"/>
    <w:rsid w:val="00543C94"/>
    <w:rsid w:val="00544CF5"/>
    <w:rsid w:val="005C38FC"/>
    <w:rsid w:val="005F2A9D"/>
    <w:rsid w:val="0060493A"/>
    <w:rsid w:val="006055BD"/>
    <w:rsid w:val="00611DB2"/>
    <w:rsid w:val="00672AB6"/>
    <w:rsid w:val="00684079"/>
    <w:rsid w:val="006C09D0"/>
    <w:rsid w:val="006D3D13"/>
    <w:rsid w:val="006E25FB"/>
    <w:rsid w:val="00736354"/>
    <w:rsid w:val="00770571"/>
    <w:rsid w:val="00781A7C"/>
    <w:rsid w:val="007F587D"/>
    <w:rsid w:val="00817D3B"/>
    <w:rsid w:val="008236A7"/>
    <w:rsid w:val="008341C7"/>
    <w:rsid w:val="008359AF"/>
    <w:rsid w:val="00843844"/>
    <w:rsid w:val="00885676"/>
    <w:rsid w:val="00893667"/>
    <w:rsid w:val="00893EED"/>
    <w:rsid w:val="008A2FDD"/>
    <w:rsid w:val="008E0BE5"/>
    <w:rsid w:val="00911E92"/>
    <w:rsid w:val="009632EE"/>
    <w:rsid w:val="00996B9B"/>
    <w:rsid w:val="009A2F70"/>
    <w:rsid w:val="009A656F"/>
    <w:rsid w:val="00A144C2"/>
    <w:rsid w:val="00A15235"/>
    <w:rsid w:val="00A2528A"/>
    <w:rsid w:val="00A32302"/>
    <w:rsid w:val="00A439B2"/>
    <w:rsid w:val="00A471ED"/>
    <w:rsid w:val="00A50603"/>
    <w:rsid w:val="00A7104C"/>
    <w:rsid w:val="00A85348"/>
    <w:rsid w:val="00AD33B4"/>
    <w:rsid w:val="00B12CFB"/>
    <w:rsid w:val="00BB3581"/>
    <w:rsid w:val="00BE06A0"/>
    <w:rsid w:val="00C13500"/>
    <w:rsid w:val="00C759C3"/>
    <w:rsid w:val="00C95663"/>
    <w:rsid w:val="00CA4235"/>
    <w:rsid w:val="00CB374A"/>
    <w:rsid w:val="00D02EEB"/>
    <w:rsid w:val="00D058BF"/>
    <w:rsid w:val="00D263A3"/>
    <w:rsid w:val="00D30276"/>
    <w:rsid w:val="00D655E9"/>
    <w:rsid w:val="00D76F30"/>
    <w:rsid w:val="00D803ED"/>
    <w:rsid w:val="00DA1398"/>
    <w:rsid w:val="00DA736A"/>
    <w:rsid w:val="00DE7770"/>
    <w:rsid w:val="00DF0CB3"/>
    <w:rsid w:val="00DF764A"/>
    <w:rsid w:val="00E027F1"/>
    <w:rsid w:val="00E14307"/>
    <w:rsid w:val="00E179DF"/>
    <w:rsid w:val="00E37D4E"/>
    <w:rsid w:val="00E53B51"/>
    <w:rsid w:val="00EB7BC7"/>
    <w:rsid w:val="00ED5D1F"/>
    <w:rsid w:val="00EF1BF8"/>
    <w:rsid w:val="00EF2256"/>
    <w:rsid w:val="00F00185"/>
    <w:rsid w:val="00F214B0"/>
    <w:rsid w:val="00F21D06"/>
    <w:rsid w:val="00F364D9"/>
    <w:rsid w:val="00F46078"/>
    <w:rsid w:val="00F47D34"/>
    <w:rsid w:val="00F52203"/>
    <w:rsid w:val="00F878D5"/>
    <w:rsid w:val="00FA6BE4"/>
    <w:rsid w:val="00FD39E6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2A7ED6"/>
  <w15:docId w15:val="{AD9E4C7E-3ECF-412C-BC83-A0D93CE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71"/>
  </w:style>
  <w:style w:type="paragraph" w:styleId="Ttulo1">
    <w:name w:val="heading 1"/>
    <w:basedOn w:val="Normal"/>
    <w:next w:val="Normal"/>
    <w:link w:val="Ttulo1Car"/>
    <w:uiPriority w:val="9"/>
    <w:qFormat/>
    <w:rsid w:val="00C13500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3500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3500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3500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3500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350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3500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3500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3500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135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35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3500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350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350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3500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3500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350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35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ps">
    <w:name w:val="hps"/>
    <w:rsid w:val="00C1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Salas</dc:creator>
  <cp:keywords/>
  <dc:description/>
  <cp:lastModifiedBy>Magalys Quintana Tuñon</cp:lastModifiedBy>
  <cp:revision>13</cp:revision>
  <cp:lastPrinted>2017-12-20T13:28:00Z</cp:lastPrinted>
  <dcterms:created xsi:type="dcterms:W3CDTF">2019-09-20T18:50:00Z</dcterms:created>
  <dcterms:modified xsi:type="dcterms:W3CDTF">2019-11-12T18:24:00Z</dcterms:modified>
</cp:coreProperties>
</file>