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BE06A0" w14:paraId="2889A9DA" w14:textId="77777777" w:rsidTr="00EB7BC7">
        <w:tc>
          <w:tcPr>
            <w:tcW w:w="8978" w:type="dxa"/>
            <w:shd w:val="clear" w:color="auto" w:fill="C2D69B" w:themeFill="accent3" w:themeFillTint="99"/>
          </w:tcPr>
          <w:p w14:paraId="58FE22CB" w14:textId="77777777"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BE06A0" w14:paraId="474D42AB" w14:textId="77777777" w:rsidTr="00DF764A">
        <w:tc>
          <w:tcPr>
            <w:tcW w:w="8978" w:type="dxa"/>
            <w:tcBorders>
              <w:bottom w:val="dotted" w:sz="4" w:space="0" w:color="auto"/>
            </w:tcBorders>
          </w:tcPr>
          <w:p w14:paraId="58D01A58" w14:textId="347081B2" w:rsidR="00E12D33" w:rsidRPr="00A4344B" w:rsidRDefault="00E12D33" w:rsidP="00E12D33">
            <w:pPr>
              <w:jc w:val="both"/>
              <w:rPr>
                <w:rFonts w:cs="Arial"/>
              </w:rPr>
            </w:pPr>
            <w:r w:rsidRPr="00A4344B">
              <w:rPr>
                <w:rFonts w:cs="Arial"/>
              </w:rPr>
              <w:t xml:space="preserve">El propósito de este procedimiento operativo estándar es documentar el proceso de evaluación expedita de un </w:t>
            </w:r>
            <w:r>
              <w:rPr>
                <w:rFonts w:cs="Arial"/>
              </w:rPr>
              <w:t>proyecto</w:t>
            </w:r>
            <w:r w:rsidRPr="00A4344B">
              <w:rPr>
                <w:rFonts w:cs="Arial"/>
              </w:rPr>
              <w:t xml:space="preserve"> de investigación </w:t>
            </w:r>
            <w:r>
              <w:rPr>
                <w:rFonts w:cs="Arial"/>
              </w:rPr>
              <w:t>por un comité de bioética de la investigación</w:t>
            </w:r>
            <w:r w:rsidRPr="00A4344B">
              <w:rPr>
                <w:rFonts w:cs="Arial"/>
              </w:rPr>
              <w:t>.</w:t>
            </w:r>
          </w:p>
          <w:p w14:paraId="4445DD72" w14:textId="58C6AC62" w:rsidR="00471446" w:rsidRPr="00C13500" w:rsidRDefault="00AD33B4" w:rsidP="00FD57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471446" w:rsidRPr="00BE06A0" w14:paraId="71B833B5" w14:textId="77777777" w:rsidTr="00DF764A">
        <w:tc>
          <w:tcPr>
            <w:tcW w:w="8978" w:type="dxa"/>
            <w:tcBorders>
              <w:bottom w:val="nil"/>
            </w:tcBorders>
            <w:shd w:val="clear" w:color="auto" w:fill="C2D69B" w:themeFill="accent3" w:themeFillTint="99"/>
          </w:tcPr>
          <w:p w14:paraId="7A03754E" w14:textId="77777777"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BE06A0" w14:paraId="41F65321" w14:textId="77777777" w:rsidTr="00DF764A">
        <w:tc>
          <w:tcPr>
            <w:tcW w:w="8978" w:type="dxa"/>
            <w:tcBorders>
              <w:top w:val="nil"/>
            </w:tcBorders>
          </w:tcPr>
          <w:p w14:paraId="65839497" w14:textId="17CE6DCC" w:rsidR="00E12D33" w:rsidRPr="00E12D33" w:rsidRDefault="00D803ED" w:rsidP="00E12D33">
            <w:pPr>
              <w:tabs>
                <w:tab w:val="left" w:pos="2550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ab/>
            </w:r>
          </w:p>
          <w:p w14:paraId="240CC30D" w14:textId="69646355" w:rsidR="00E12D33" w:rsidRPr="00E12D33" w:rsidRDefault="00E12D33" w:rsidP="00E12D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Investigadores</w:t>
            </w:r>
            <w:r w:rsidRPr="00E12D33">
              <w:rPr>
                <w:rFonts w:cs="Arial"/>
              </w:rPr>
              <w:t xml:space="preserve"> que </w:t>
            </w:r>
            <w:r>
              <w:rPr>
                <w:rFonts w:cs="Arial"/>
              </w:rPr>
              <w:t>someta</w:t>
            </w:r>
            <w:r w:rsidRPr="00E12D33">
              <w:rPr>
                <w:rFonts w:cs="Arial"/>
              </w:rPr>
              <w:t>n su</w:t>
            </w:r>
            <w:r>
              <w:rPr>
                <w:rFonts w:cs="Arial"/>
              </w:rPr>
              <w:t xml:space="preserve"> protocolo</w:t>
            </w:r>
            <w:r w:rsidRPr="00E12D33">
              <w:rPr>
                <w:rFonts w:cs="Arial"/>
              </w:rPr>
              <w:t xml:space="preserve"> para revisión por </w:t>
            </w:r>
            <w:r>
              <w:rPr>
                <w:rFonts w:cs="Arial"/>
              </w:rPr>
              <w:t>un</w:t>
            </w:r>
            <w:r w:rsidRPr="00E12D33">
              <w:rPr>
                <w:rFonts w:cs="Arial"/>
              </w:rPr>
              <w:t xml:space="preserve"> Comité de Bioética</w:t>
            </w:r>
            <w:r>
              <w:rPr>
                <w:rFonts w:cs="Arial"/>
              </w:rPr>
              <w:t xml:space="preserve"> de la Investigación.</w:t>
            </w:r>
          </w:p>
          <w:p w14:paraId="42A4A90E" w14:textId="5F15E1C8" w:rsidR="00D803ED" w:rsidRPr="00BE06A0" w:rsidRDefault="00D803ED" w:rsidP="00D803ED">
            <w:pPr>
              <w:tabs>
                <w:tab w:val="left" w:pos="2550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1DFF90C" w14:textId="77777777"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286215F5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086"/>
      </w:tblGrid>
      <w:tr w:rsidR="00471446" w:rsidRPr="00BE06A0" w14:paraId="1BBC9A93" w14:textId="77777777" w:rsidTr="00E12D33">
        <w:tc>
          <w:tcPr>
            <w:tcW w:w="8828" w:type="dxa"/>
            <w:gridSpan w:val="2"/>
            <w:shd w:val="clear" w:color="auto" w:fill="C2D69B" w:themeFill="accent3" w:themeFillTint="99"/>
          </w:tcPr>
          <w:p w14:paraId="55F10E40" w14:textId="77777777"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E12D33" w:rsidRPr="00BE06A0" w14:paraId="221F6B7A" w14:textId="77777777" w:rsidTr="00E12D33">
        <w:tc>
          <w:tcPr>
            <w:tcW w:w="2742" w:type="dxa"/>
          </w:tcPr>
          <w:p w14:paraId="39AFAADE" w14:textId="7DE3990D" w:rsidR="00E12D33" w:rsidRDefault="00E12D33" w:rsidP="0047144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Revisión Expedita</w:t>
            </w:r>
          </w:p>
        </w:tc>
        <w:tc>
          <w:tcPr>
            <w:tcW w:w="6086" w:type="dxa"/>
          </w:tcPr>
          <w:p w14:paraId="712ABFE6" w14:textId="77777777" w:rsidR="00E12D33" w:rsidRDefault="00E12D33" w:rsidP="00E12D33">
            <w:pPr>
              <w:jc w:val="both"/>
            </w:pPr>
            <w:r>
              <w:t>La evaluación expedita se refiere a la duración en tiempo de la evaluación y no a los propósitos y los instrumentos de evaluación de un proyecto de evaluación.</w:t>
            </w:r>
          </w:p>
          <w:p w14:paraId="233ACEE2" w14:textId="77777777" w:rsidR="00E12D33" w:rsidRPr="00E12D33" w:rsidRDefault="00E12D33" w:rsidP="00E12D33">
            <w:pPr>
              <w:jc w:val="both"/>
              <w:rPr>
                <w:rFonts w:eastAsia="Times New Roman" w:cs="Arial"/>
                <w:lang w:val="es-PA"/>
              </w:rPr>
            </w:pPr>
          </w:p>
        </w:tc>
      </w:tr>
      <w:tr w:rsidR="00471446" w:rsidRPr="00BE06A0" w14:paraId="6FDC4BC4" w14:textId="77777777" w:rsidTr="00E12D33">
        <w:tc>
          <w:tcPr>
            <w:tcW w:w="2742" w:type="dxa"/>
          </w:tcPr>
          <w:p w14:paraId="2D82AD67" w14:textId="4136391B" w:rsidR="00471446" w:rsidRPr="00BE06A0" w:rsidRDefault="00672AB6" w:rsidP="0047144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Riesgo Mínimo</w:t>
            </w:r>
          </w:p>
        </w:tc>
        <w:tc>
          <w:tcPr>
            <w:tcW w:w="6086" w:type="dxa"/>
          </w:tcPr>
          <w:p w14:paraId="25AA1928" w14:textId="0DEC0572" w:rsidR="00E12D33" w:rsidRPr="00E12D33" w:rsidRDefault="00E12D33" w:rsidP="00E12D33">
            <w:pPr>
              <w:jc w:val="both"/>
              <w:rPr>
                <w:rFonts w:cs="Arial"/>
                <w:b/>
                <w:i/>
              </w:rPr>
            </w:pPr>
            <w:r w:rsidRPr="00E12D33">
              <w:rPr>
                <w:rFonts w:eastAsia="Times New Roman" w:cs="Arial"/>
                <w:lang w:val="es-PA"/>
              </w:rPr>
              <w:t xml:space="preserve">Se entiende como investigación </w:t>
            </w:r>
            <w:r w:rsidR="00F743D7">
              <w:rPr>
                <w:rFonts w:eastAsia="Times New Roman" w:cs="Arial"/>
                <w:lang w:val="es-PA"/>
              </w:rPr>
              <w:t>para la</w:t>
            </w:r>
            <w:r w:rsidRPr="00E12D33">
              <w:rPr>
                <w:rFonts w:eastAsia="Times New Roman" w:cs="Arial"/>
                <w:lang w:val="es-PA"/>
              </w:rPr>
              <w:t xml:space="preserve"> salud con riesgo mínimo aquellas en las cuales se realizan registros de datos por medio de procedimientos diagnósticos de rutina (físicos o psicológicos) y si los resultados sólo resultan en un impacto mínimo y pasajero sobre la salud o bienestar/comodidad de la persona</w:t>
            </w:r>
            <w:r>
              <w:t xml:space="preserve">: </w:t>
            </w:r>
            <w:r w:rsidRPr="00E12D33">
              <w:rPr>
                <w:rFonts w:eastAsia="Times New Roman" w:cs="Arial"/>
                <w:lang w:val="es-ES"/>
              </w:rPr>
              <w:t>“la probabilidad y la magnitud de daño o malestar anticipados en la investigación, no son mayores que aquellos que son encontrados en la vida diaria o atención medica de rutina” del sujeto participando en el estudio.</w:t>
            </w:r>
          </w:p>
          <w:p w14:paraId="09432482" w14:textId="71FA2D55" w:rsidR="00471446" w:rsidRPr="00EF2256" w:rsidRDefault="00471446" w:rsidP="00FA6BE4">
            <w:pPr>
              <w:rPr>
                <w:rFonts w:cstheme="minorHAnsi"/>
                <w:i/>
                <w:iCs/>
              </w:rPr>
            </w:pPr>
          </w:p>
        </w:tc>
      </w:tr>
      <w:tr w:rsidR="00E12D33" w:rsidRPr="00BE06A0" w14:paraId="24B55763" w14:textId="77777777" w:rsidTr="00E12D33">
        <w:tc>
          <w:tcPr>
            <w:tcW w:w="2742" w:type="dxa"/>
          </w:tcPr>
          <w:p w14:paraId="134CEF5B" w14:textId="15A896C8" w:rsidR="00E12D33" w:rsidRDefault="00E12D33" w:rsidP="0047144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Consentimiento Informado </w:t>
            </w:r>
          </w:p>
        </w:tc>
        <w:tc>
          <w:tcPr>
            <w:tcW w:w="6086" w:type="dxa"/>
          </w:tcPr>
          <w:p w14:paraId="0987402B" w14:textId="5A2697DC" w:rsidR="00E12D33" w:rsidRPr="00E12D33" w:rsidRDefault="00E12D33" w:rsidP="00CA004C">
            <w:pPr>
              <w:jc w:val="both"/>
              <w:rPr>
                <w:rFonts w:cs="Arial"/>
                <w:b/>
                <w:i/>
              </w:rPr>
            </w:pPr>
            <w:r w:rsidRPr="00E12D33">
              <w:rPr>
                <w:rStyle w:val="hps"/>
                <w:rFonts w:eastAsia="Times New Roman" w:cs="Arial"/>
                <w:lang w:val="es-ES"/>
              </w:rPr>
              <w:t>Los requisitos estándar</w:t>
            </w:r>
            <w:r w:rsidRPr="00E12D33">
              <w:rPr>
                <w:rFonts w:eastAsia="Times New Roman" w:cs="Arial"/>
                <w:lang w:val="es-ES"/>
              </w:rPr>
              <w:t xml:space="preserve"> </w:t>
            </w:r>
            <w:r w:rsidRPr="00E12D33">
              <w:rPr>
                <w:rStyle w:val="hps"/>
                <w:rFonts w:eastAsia="Times New Roman" w:cs="Arial"/>
                <w:lang w:val="es-ES"/>
              </w:rPr>
              <w:t>para el consentimiento informado</w:t>
            </w:r>
            <w:r w:rsidRPr="00E12D33">
              <w:rPr>
                <w:rFonts w:eastAsia="Times New Roman" w:cs="Arial"/>
                <w:lang w:val="es-ES"/>
              </w:rPr>
              <w:t xml:space="preserve"> </w:t>
            </w:r>
            <w:r w:rsidRPr="00E12D33">
              <w:rPr>
                <w:rStyle w:val="hps"/>
                <w:rFonts w:eastAsia="Times New Roman" w:cs="Arial"/>
                <w:lang w:val="es-ES"/>
              </w:rPr>
              <w:t>(o su</w:t>
            </w:r>
            <w:r w:rsidRPr="00E12D33">
              <w:rPr>
                <w:rFonts w:eastAsia="Times New Roman" w:cs="Arial"/>
                <w:lang w:val="es-ES"/>
              </w:rPr>
              <w:t xml:space="preserve"> </w:t>
            </w:r>
            <w:r w:rsidRPr="00E12D33">
              <w:rPr>
                <w:rStyle w:val="hps"/>
                <w:rFonts w:eastAsia="Times New Roman" w:cs="Arial"/>
                <w:lang w:val="es-ES"/>
              </w:rPr>
              <w:t>renuncia,</w:t>
            </w:r>
            <w:r w:rsidRPr="00E12D33">
              <w:rPr>
                <w:rFonts w:eastAsia="Times New Roman" w:cs="Arial"/>
                <w:lang w:val="es-ES"/>
              </w:rPr>
              <w:t xml:space="preserve"> </w:t>
            </w:r>
            <w:r w:rsidRPr="00E12D33">
              <w:rPr>
                <w:rStyle w:val="hps"/>
                <w:rFonts w:eastAsia="Times New Roman" w:cs="Arial"/>
                <w:lang w:val="es-ES"/>
              </w:rPr>
              <w:t>alteración,</w:t>
            </w:r>
            <w:r w:rsidRPr="00E12D33">
              <w:rPr>
                <w:rFonts w:eastAsia="Times New Roman" w:cs="Arial"/>
                <w:lang w:val="es-ES"/>
              </w:rPr>
              <w:t xml:space="preserve"> uso oral, </w:t>
            </w:r>
            <w:r w:rsidRPr="00E12D33">
              <w:rPr>
                <w:rStyle w:val="hps"/>
                <w:rFonts w:eastAsia="Times New Roman" w:cs="Arial"/>
                <w:lang w:val="es-ES"/>
              </w:rPr>
              <w:t>o excepción</w:t>
            </w:r>
            <w:r w:rsidRPr="00E12D33">
              <w:rPr>
                <w:rFonts w:eastAsia="Times New Roman" w:cs="Arial"/>
                <w:lang w:val="es-ES"/>
              </w:rPr>
              <w:t xml:space="preserve">) se aplican independientemente </w:t>
            </w:r>
            <w:r w:rsidRPr="00E12D33">
              <w:rPr>
                <w:rStyle w:val="hps"/>
                <w:rFonts w:eastAsia="Times New Roman" w:cs="Arial"/>
                <w:lang w:val="es-ES"/>
              </w:rPr>
              <w:t>del</w:t>
            </w:r>
            <w:r w:rsidRPr="00E12D33">
              <w:rPr>
                <w:rFonts w:eastAsia="Times New Roman" w:cs="Arial"/>
                <w:lang w:val="es-ES"/>
              </w:rPr>
              <w:t xml:space="preserve"> </w:t>
            </w:r>
            <w:r w:rsidRPr="00E12D33">
              <w:rPr>
                <w:rStyle w:val="hps"/>
                <w:rFonts w:eastAsia="Times New Roman" w:cs="Arial"/>
                <w:lang w:val="es-ES"/>
              </w:rPr>
              <w:t>tipo de revisión</w:t>
            </w:r>
            <w:r w:rsidRPr="00E12D33">
              <w:rPr>
                <w:rFonts w:eastAsia="Times New Roman" w:cs="Arial"/>
                <w:lang w:val="es-ES"/>
              </w:rPr>
              <w:t xml:space="preserve"> </w:t>
            </w:r>
            <w:r w:rsidRPr="00E12D33">
              <w:rPr>
                <w:rStyle w:val="hps"/>
                <w:rFonts w:eastAsia="Times New Roman" w:cs="Arial"/>
                <w:lang w:val="es-ES"/>
              </w:rPr>
              <w:t>-</w:t>
            </w:r>
            <w:r w:rsidRPr="00E12D33">
              <w:rPr>
                <w:rFonts w:eastAsia="Times New Roman" w:cs="Arial"/>
                <w:lang w:val="es-ES"/>
              </w:rPr>
              <w:t xml:space="preserve"> </w:t>
            </w:r>
            <w:r w:rsidRPr="00E12D33">
              <w:rPr>
                <w:rStyle w:val="hps"/>
                <w:rFonts w:eastAsia="Times New Roman" w:cs="Arial"/>
                <w:lang w:val="es-ES"/>
              </w:rPr>
              <w:t>expedita</w:t>
            </w:r>
            <w:r w:rsidRPr="00E12D33">
              <w:rPr>
                <w:rFonts w:eastAsia="Times New Roman" w:cs="Arial"/>
                <w:lang w:val="es-ES"/>
              </w:rPr>
              <w:t xml:space="preserve"> </w:t>
            </w:r>
            <w:r w:rsidRPr="00E12D33">
              <w:rPr>
                <w:rStyle w:val="hps"/>
                <w:rFonts w:eastAsia="Times New Roman" w:cs="Arial"/>
                <w:lang w:val="es-ES"/>
              </w:rPr>
              <w:t>o llevada al pleno</w:t>
            </w:r>
            <w:r w:rsidRPr="00E12D33">
              <w:rPr>
                <w:rFonts w:eastAsia="Times New Roman" w:cs="Arial"/>
                <w:lang w:val="es-ES"/>
              </w:rPr>
              <w:t xml:space="preserve"> </w:t>
            </w:r>
            <w:r w:rsidRPr="00E12D33">
              <w:rPr>
                <w:rStyle w:val="hps"/>
                <w:rFonts w:eastAsia="Times New Roman" w:cs="Arial"/>
                <w:lang w:val="es-ES"/>
              </w:rPr>
              <w:t>del Comité de Bioética</w:t>
            </w:r>
            <w:r w:rsidRPr="00E12D33">
              <w:rPr>
                <w:rFonts w:eastAsia="Times New Roman" w:cs="Arial"/>
                <w:lang w:val="es-ES"/>
              </w:rPr>
              <w:t xml:space="preserve">. </w:t>
            </w:r>
          </w:p>
        </w:tc>
      </w:tr>
      <w:tr w:rsidR="00E12D33" w:rsidRPr="00BE06A0" w14:paraId="1E297D54" w14:textId="77777777" w:rsidTr="00E12D33">
        <w:tc>
          <w:tcPr>
            <w:tcW w:w="2742" w:type="dxa"/>
          </w:tcPr>
          <w:p w14:paraId="210AA56A" w14:textId="3C0BA602" w:rsidR="00E12D33" w:rsidRPr="00E12D33" w:rsidRDefault="00E12D33" w:rsidP="00471446">
            <w:pPr>
              <w:rPr>
                <w:rFonts w:cstheme="minorHAnsi"/>
                <w:i/>
                <w:sz w:val="24"/>
                <w:szCs w:val="24"/>
              </w:rPr>
            </w:pPr>
            <w:r w:rsidRPr="00E12D33">
              <w:rPr>
                <w:rFonts w:cstheme="minorHAnsi"/>
                <w:i/>
                <w:sz w:val="24"/>
                <w:szCs w:val="24"/>
              </w:rPr>
              <w:t>Encuestas/Estudios de Ciencias Sociales, de Psicología y de Comportamiento</w:t>
            </w:r>
          </w:p>
        </w:tc>
        <w:tc>
          <w:tcPr>
            <w:tcW w:w="6086" w:type="dxa"/>
          </w:tcPr>
          <w:p w14:paraId="30789CF0" w14:textId="24EF72E2" w:rsidR="00E12D33" w:rsidRPr="00E12D33" w:rsidRDefault="00E12D33" w:rsidP="00E12D33">
            <w:pPr>
              <w:jc w:val="both"/>
              <w:rPr>
                <w:rFonts w:cs="Arial"/>
              </w:rPr>
            </w:pPr>
            <w:r w:rsidRPr="00E12D33">
              <w:rPr>
                <w:rStyle w:val="hps"/>
                <w:rFonts w:eastAsia="Times New Roman" w:cs="Arial"/>
                <w:lang w:val="es-ES"/>
              </w:rPr>
              <w:t xml:space="preserve">Investigación sobre las características o comportamientos individuales o de grupo (incluyendo, pero no limitado a, investigación sobre la percepción, la cognición, la motivación, la identidad, el lenguaje, la comunicación, creencias culturales o prácticas, y comportamiento social) o la investigación que utiliza encuestas, entrevistas, historia oral, grupos focales que no expone a los participantes a discriminación/estigmatización social, </w:t>
            </w:r>
            <w:r w:rsidRPr="00E12D33">
              <w:rPr>
                <w:rStyle w:val="hps"/>
                <w:rFonts w:eastAsia="Times New Roman" w:cs="Arial"/>
                <w:lang w:val="es-ES"/>
              </w:rPr>
              <w:lastRenderedPageBreak/>
              <w:t xml:space="preserve">evaluación de programas, evaluación de factores humanos, o de garantía de calidad metodológica y son </w:t>
            </w:r>
            <w:r w:rsidRPr="00E12D33">
              <w:rPr>
                <w:rStyle w:val="hps"/>
                <w:rFonts w:eastAsia="Times New Roman" w:cs="Arial"/>
                <w:b/>
                <w:bCs/>
                <w:lang w:val="es-ES"/>
              </w:rPr>
              <w:t>anónimas</w:t>
            </w:r>
            <w:r w:rsidRPr="00E12D33">
              <w:rPr>
                <w:rStyle w:val="hps"/>
                <w:rFonts w:eastAsia="Times New Roman" w:cs="Arial"/>
                <w:lang w:val="es-ES"/>
              </w:rPr>
              <w:t>.</w:t>
            </w:r>
          </w:p>
        </w:tc>
      </w:tr>
    </w:tbl>
    <w:p w14:paraId="71539569" w14:textId="77777777"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2E97DD0C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6895"/>
      </w:tblGrid>
      <w:tr w:rsidR="00471446" w:rsidRPr="00BE06A0" w14:paraId="32CC4510" w14:textId="77777777" w:rsidTr="00DF764A">
        <w:tc>
          <w:tcPr>
            <w:tcW w:w="8978" w:type="dxa"/>
            <w:gridSpan w:val="2"/>
            <w:shd w:val="clear" w:color="auto" w:fill="C2D69B" w:themeFill="accent3" w:themeFillTint="99"/>
          </w:tcPr>
          <w:p w14:paraId="1307F199" w14:textId="77777777" w:rsidR="00471446" w:rsidRPr="00BE06A0" w:rsidRDefault="00471446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BE06A0" w14:paraId="77070824" w14:textId="77777777" w:rsidTr="006D3D13">
        <w:tc>
          <w:tcPr>
            <w:tcW w:w="1951" w:type="dxa"/>
          </w:tcPr>
          <w:p w14:paraId="61823F6B" w14:textId="77777777" w:rsidR="00471446" w:rsidRPr="00BE06A0" w:rsidRDefault="001B3D19" w:rsidP="006D3D1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Secretaría Técnica</w:t>
            </w:r>
          </w:p>
        </w:tc>
        <w:tc>
          <w:tcPr>
            <w:tcW w:w="7027" w:type="dxa"/>
          </w:tcPr>
          <w:p w14:paraId="5CC7C615" w14:textId="3439CEBB" w:rsidR="00471446" w:rsidRPr="00BE06A0" w:rsidRDefault="00E12D33" w:rsidP="00E12D3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Recibir toda la</w:t>
            </w:r>
            <w:r w:rsidR="00672AB6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documentación de los estudios</w:t>
            </w:r>
            <w:r w:rsidR="00672AB6">
              <w:rPr>
                <w:rFonts w:cstheme="minorHAnsi"/>
                <w:i/>
                <w:sz w:val="24"/>
                <w:szCs w:val="24"/>
              </w:rPr>
              <w:t xml:space="preserve"> y presentarlas en la</w:t>
            </w:r>
            <w:r w:rsidR="00AB7131">
              <w:rPr>
                <w:rFonts w:cstheme="minorHAnsi"/>
                <w:i/>
                <w:sz w:val="24"/>
                <w:szCs w:val="24"/>
              </w:rPr>
              <w:t>s reuniones ordinarias del Comité.</w:t>
            </w:r>
          </w:p>
        </w:tc>
      </w:tr>
      <w:tr w:rsidR="00672AB6" w:rsidRPr="00BE06A0" w14:paraId="0693A31C" w14:textId="77777777" w:rsidTr="006D3D13">
        <w:tc>
          <w:tcPr>
            <w:tcW w:w="1951" w:type="dxa"/>
          </w:tcPr>
          <w:p w14:paraId="450701B5" w14:textId="18380F47" w:rsidR="00672AB6" w:rsidRDefault="00672AB6" w:rsidP="006D3D1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Presidente y Miembros del CNBI </w:t>
            </w:r>
          </w:p>
        </w:tc>
        <w:tc>
          <w:tcPr>
            <w:tcW w:w="7027" w:type="dxa"/>
          </w:tcPr>
          <w:p w14:paraId="38D9620F" w14:textId="36C6727E" w:rsidR="00672AB6" w:rsidRDefault="00672AB6" w:rsidP="00BB3581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Dar respues</w:t>
            </w:r>
            <w:r w:rsidR="00E12D33">
              <w:rPr>
                <w:rFonts w:cstheme="minorHAnsi"/>
                <w:i/>
                <w:sz w:val="24"/>
                <w:szCs w:val="24"/>
              </w:rPr>
              <w:t>ta a las solicitudes de revisión expedita</w:t>
            </w:r>
            <w:r>
              <w:rPr>
                <w:rFonts w:cstheme="minorHAnsi"/>
                <w:i/>
                <w:sz w:val="24"/>
                <w:szCs w:val="24"/>
              </w:rPr>
              <w:t>, una vez revisado</w:t>
            </w:r>
            <w:r w:rsidR="00E12D33">
              <w:rPr>
                <w:rFonts w:cstheme="minorHAnsi"/>
                <w:i/>
                <w:sz w:val="24"/>
                <w:szCs w:val="24"/>
              </w:rPr>
              <w:t>s</w:t>
            </w:r>
            <w:r>
              <w:rPr>
                <w:rFonts w:cstheme="minorHAnsi"/>
                <w:i/>
                <w:sz w:val="24"/>
                <w:szCs w:val="24"/>
              </w:rPr>
              <w:t xml:space="preserve"> los documentos presentados por el investigador.</w:t>
            </w:r>
          </w:p>
        </w:tc>
      </w:tr>
    </w:tbl>
    <w:p w14:paraId="426AA169" w14:textId="0FF681B2" w:rsidR="00E12D33" w:rsidRDefault="00E12D33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7EDA4FDE" w14:textId="77777777" w:rsidR="00E12D33" w:rsidRPr="00BE06A0" w:rsidRDefault="00E12D33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BE06A0" w14:paraId="55BFC8CF" w14:textId="77777777" w:rsidTr="00DF764A">
        <w:tc>
          <w:tcPr>
            <w:tcW w:w="8978" w:type="dxa"/>
            <w:shd w:val="clear" w:color="auto" w:fill="C2D69B" w:themeFill="accent3" w:themeFillTint="99"/>
          </w:tcPr>
          <w:p w14:paraId="02E2E6E0" w14:textId="77777777"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672AB6" w:rsidRPr="00262D3C" w14:paraId="4573B417" w14:textId="77777777" w:rsidTr="00672AB6">
        <w:tc>
          <w:tcPr>
            <w:tcW w:w="8978" w:type="dxa"/>
            <w:shd w:val="clear" w:color="auto" w:fill="auto"/>
          </w:tcPr>
          <w:p w14:paraId="28BCB3FA" w14:textId="77777777" w:rsidR="00AB7131" w:rsidRPr="00AB7131" w:rsidRDefault="00AB7131" w:rsidP="00AB7131">
            <w:pPr>
              <w:pStyle w:val="Prrafodelista"/>
              <w:tabs>
                <w:tab w:val="left" w:pos="567"/>
              </w:tabs>
              <w:ind w:left="567"/>
              <w:jc w:val="both"/>
              <w:rPr>
                <w:rStyle w:val="hps"/>
                <w:rFonts w:cs="Arial"/>
                <w:b/>
                <w:bCs/>
              </w:rPr>
            </w:pPr>
          </w:p>
          <w:p w14:paraId="0FA0406B" w14:textId="398A35B5" w:rsidR="00E12D33" w:rsidRPr="00A4344B" w:rsidRDefault="00E12D33" w:rsidP="00E12D33">
            <w:pPr>
              <w:pStyle w:val="Prrafodelista"/>
              <w:numPr>
                <w:ilvl w:val="1"/>
                <w:numId w:val="3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="Arial"/>
                <w:b/>
                <w:bCs/>
              </w:rPr>
            </w:pPr>
            <w:r>
              <w:rPr>
                <w:rStyle w:val="hps"/>
                <w:rFonts w:eastAsia="Times New Roman" w:cs="Arial"/>
                <w:lang w:val="es-ES"/>
              </w:rPr>
              <w:t>E</w:t>
            </w:r>
            <w:r w:rsidRPr="5BB02052">
              <w:rPr>
                <w:rStyle w:val="hps"/>
                <w:rFonts w:eastAsia="Times New Roman" w:cs="Arial"/>
                <w:lang w:val="es-ES"/>
              </w:rPr>
              <w:t xml:space="preserve">l/la investigador(a) solicita la evaluación expedita en la carta de solicitud de evaluación </w:t>
            </w:r>
            <w:r w:rsidR="00104798">
              <w:rPr>
                <w:rStyle w:val="hps"/>
                <w:rFonts w:eastAsia="Times New Roman" w:cs="Arial"/>
                <w:lang w:val="es-ES"/>
              </w:rPr>
              <w:t xml:space="preserve">justificando la misma, </w:t>
            </w:r>
            <w:r w:rsidRPr="5BB02052">
              <w:rPr>
                <w:rStyle w:val="hps"/>
                <w:rFonts w:eastAsia="Times New Roman" w:cs="Arial"/>
                <w:lang w:val="es-ES"/>
              </w:rPr>
              <w:t>dirigida al/la presidente del Comité quien decide si corresponde</w:t>
            </w:r>
            <w:r>
              <w:rPr>
                <w:rStyle w:val="hps"/>
                <w:rFonts w:eastAsia="Times New Roman" w:cs="Arial"/>
                <w:lang w:val="es-ES"/>
              </w:rPr>
              <w:t xml:space="preserve"> o no la misma</w:t>
            </w:r>
            <w:r w:rsidRPr="5BB02052">
              <w:rPr>
                <w:rStyle w:val="hps"/>
                <w:rFonts w:eastAsia="Times New Roman" w:cs="Arial"/>
                <w:lang w:val="es-ES"/>
              </w:rPr>
              <w:t xml:space="preserve">. </w:t>
            </w:r>
          </w:p>
          <w:p w14:paraId="4E4A4B24" w14:textId="77777777" w:rsidR="00E12D33" w:rsidRPr="00E12D33" w:rsidRDefault="00E12D33" w:rsidP="00E12D33">
            <w:pPr>
              <w:pStyle w:val="Prrafodelista"/>
              <w:numPr>
                <w:ilvl w:val="1"/>
                <w:numId w:val="3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="Arial"/>
                <w:b/>
              </w:rPr>
            </w:pPr>
            <w:r w:rsidRPr="00A4344B">
              <w:rPr>
                <w:rStyle w:val="hps"/>
                <w:rFonts w:eastAsia="Times New Roman" w:cs="Arial"/>
                <w:lang w:val="es-ES"/>
              </w:rPr>
              <w:t>El investigador principal presentará la documentac</w:t>
            </w:r>
            <w:r>
              <w:rPr>
                <w:rStyle w:val="hps"/>
                <w:rFonts w:eastAsia="Times New Roman" w:cs="Arial"/>
                <w:lang w:val="es-ES"/>
              </w:rPr>
              <w:t>ión del estudio de acuerdo al Procedimiento Operativo para presentar estudios ante el comité.</w:t>
            </w:r>
          </w:p>
          <w:p w14:paraId="2A7932E2" w14:textId="77777777" w:rsidR="00E12D33" w:rsidRPr="00E12D33" w:rsidRDefault="00E12D33" w:rsidP="00E12D33">
            <w:pPr>
              <w:pStyle w:val="Prrafodelista"/>
              <w:numPr>
                <w:ilvl w:val="1"/>
                <w:numId w:val="3"/>
              </w:numPr>
              <w:tabs>
                <w:tab w:val="left" w:pos="567"/>
              </w:tabs>
              <w:ind w:left="567" w:hanging="567"/>
              <w:jc w:val="both"/>
              <w:rPr>
                <w:rFonts w:cs="Arial"/>
                <w:b/>
              </w:rPr>
            </w:pPr>
            <w:r>
              <w:t>El investigador principal debe presentar todos los documentos exigidos por el Comité para revisar un proyecto de investigación.</w:t>
            </w:r>
          </w:p>
          <w:p w14:paraId="0F59136B" w14:textId="5DDA7753" w:rsidR="00E12D33" w:rsidRPr="00104798" w:rsidRDefault="00E12D33" w:rsidP="00E12D33">
            <w:pPr>
              <w:pStyle w:val="Prrafodelista"/>
              <w:numPr>
                <w:ilvl w:val="1"/>
                <w:numId w:val="3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="Arial"/>
                <w:b/>
              </w:rPr>
            </w:pPr>
            <w:r w:rsidRPr="00E12D33">
              <w:rPr>
                <w:rStyle w:val="hps"/>
                <w:rFonts w:eastAsia="Times New Roman" w:cs="Arial"/>
                <w:lang w:val="es-ES"/>
              </w:rPr>
              <w:t xml:space="preserve">El/la </w:t>
            </w:r>
            <w:proofErr w:type="gramStart"/>
            <w:r w:rsidRPr="00E12D33">
              <w:rPr>
                <w:rStyle w:val="hps"/>
                <w:rFonts w:eastAsia="Times New Roman" w:cs="Arial"/>
                <w:lang w:val="es-ES"/>
              </w:rPr>
              <w:t>Presidente</w:t>
            </w:r>
            <w:proofErr w:type="gramEnd"/>
            <w:r w:rsidRPr="00E12D33">
              <w:rPr>
                <w:rStyle w:val="hps"/>
                <w:rFonts w:eastAsia="Times New Roman" w:cs="Arial"/>
                <w:lang w:val="es-ES"/>
              </w:rPr>
              <w:t xml:space="preserve"> del </w:t>
            </w:r>
            <w:r w:rsidR="00AB7131">
              <w:rPr>
                <w:rStyle w:val="hps"/>
                <w:rFonts w:eastAsia="Times New Roman" w:cs="Arial"/>
                <w:i/>
                <w:iCs/>
                <w:lang w:val="es-ES"/>
              </w:rPr>
              <w:t>Comité</w:t>
            </w:r>
            <w:r w:rsidRPr="00E12D33">
              <w:rPr>
                <w:rStyle w:val="hps"/>
                <w:rFonts w:eastAsia="Times New Roman" w:cs="Arial"/>
                <w:i/>
                <w:iCs/>
                <w:lang w:val="es-ES"/>
              </w:rPr>
              <w:t xml:space="preserve"> </w:t>
            </w:r>
            <w:r w:rsidRPr="00E12D33">
              <w:rPr>
                <w:rStyle w:val="hps"/>
                <w:rFonts w:eastAsia="Times New Roman" w:cs="Arial"/>
                <w:lang w:val="es-ES"/>
              </w:rPr>
              <w:t xml:space="preserve">asignará inmediatamente dos revisores al documento, </w:t>
            </w:r>
            <w:r w:rsidRPr="00DA67FE">
              <w:rPr>
                <w:rStyle w:val="hps"/>
                <w:rFonts w:eastAsia="Times New Roman" w:cs="Arial"/>
                <w:lang w:val="es-ES"/>
              </w:rPr>
              <w:t>indicándoles que si la revisión cumple los criterios de revisión expedita, deberá reali</w:t>
            </w:r>
            <w:r w:rsidR="00AB7131" w:rsidRPr="00DA67FE">
              <w:rPr>
                <w:rStyle w:val="hps"/>
                <w:rFonts w:eastAsia="Times New Roman" w:cs="Arial"/>
                <w:lang w:val="es-ES"/>
              </w:rPr>
              <w:t xml:space="preserve">zarse en un periodo máximo de </w:t>
            </w:r>
            <w:r w:rsidR="00F743D7" w:rsidRPr="00DA67FE">
              <w:rPr>
                <w:rStyle w:val="hps"/>
                <w:rFonts w:eastAsia="Times New Roman" w:cs="Arial"/>
                <w:lang w:val="es-ES"/>
              </w:rPr>
              <w:t>8 días</w:t>
            </w:r>
            <w:r w:rsidR="00104798" w:rsidRPr="00DA67FE">
              <w:rPr>
                <w:rStyle w:val="hps"/>
                <w:rFonts w:eastAsia="Times New Roman" w:cs="Arial"/>
                <w:lang w:val="es-ES"/>
              </w:rPr>
              <w:t xml:space="preserve"> calendario</w:t>
            </w:r>
            <w:r w:rsidRPr="00DA67FE">
              <w:rPr>
                <w:rStyle w:val="hps"/>
                <w:rFonts w:eastAsia="Times New Roman" w:cs="Arial"/>
                <w:lang w:val="es-ES"/>
              </w:rPr>
              <w:t>.</w:t>
            </w:r>
          </w:p>
          <w:p w14:paraId="395552F6" w14:textId="063B2684" w:rsidR="00104798" w:rsidRDefault="00104798" w:rsidP="00E12D33">
            <w:pPr>
              <w:pStyle w:val="Prrafodelista"/>
              <w:numPr>
                <w:ilvl w:val="1"/>
                <w:numId w:val="3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="Arial"/>
                <w:bCs/>
              </w:rPr>
            </w:pPr>
            <w:r w:rsidRPr="00104798">
              <w:rPr>
                <w:rStyle w:val="hps"/>
                <w:rFonts w:cs="Arial"/>
                <w:bCs/>
              </w:rPr>
              <w:t>El/la Presidente</w:t>
            </w:r>
            <w:r>
              <w:rPr>
                <w:rStyle w:val="hps"/>
                <w:rFonts w:cs="Arial"/>
                <w:bCs/>
              </w:rPr>
              <w:t xml:space="preserve"> podrá evaluar si se agilizan los tiempos de evaluación, en caso de emergencias de salud pública. </w:t>
            </w:r>
          </w:p>
          <w:p w14:paraId="18823CE9" w14:textId="4398C7D4" w:rsidR="00104798" w:rsidRPr="00104798" w:rsidRDefault="00104798" w:rsidP="00E12D33">
            <w:pPr>
              <w:pStyle w:val="Prrafodelista"/>
              <w:numPr>
                <w:ilvl w:val="1"/>
                <w:numId w:val="3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="Arial"/>
                <w:bCs/>
              </w:rPr>
            </w:pPr>
            <w:r>
              <w:rPr>
                <w:rStyle w:val="hps"/>
                <w:rFonts w:cs="Arial"/>
                <w:bCs/>
              </w:rPr>
              <w:t xml:space="preserve">El/la Presidente podrá presentar en el Pleno del Comité el estudio para discusión, si la fecha coincide o es cercana a la próxima reunión ordinaria. </w:t>
            </w:r>
          </w:p>
          <w:p w14:paraId="090BA399" w14:textId="77777777" w:rsidR="00E12D33" w:rsidRDefault="00E12D33" w:rsidP="00E12D33">
            <w:pPr>
              <w:tabs>
                <w:tab w:val="left" w:pos="567"/>
              </w:tabs>
              <w:jc w:val="both"/>
              <w:rPr>
                <w:b/>
                <w:i/>
                <w:lang w:val="es-ES"/>
              </w:rPr>
            </w:pPr>
          </w:p>
          <w:p w14:paraId="674AA033" w14:textId="597C1A59" w:rsidR="00E12D33" w:rsidRPr="00E12D33" w:rsidRDefault="00E12D33" w:rsidP="00E12D33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i/>
              </w:rPr>
            </w:pPr>
            <w:r w:rsidRPr="00E12D33">
              <w:rPr>
                <w:b/>
                <w:i/>
                <w:lang w:val="es-ES"/>
              </w:rPr>
              <w:t>Para considerar que un proyecto de investigación puede ser revisado de manera expedita, los revisores tomarán en cuenta</w:t>
            </w:r>
            <w:r w:rsidRPr="00E12D33">
              <w:rPr>
                <w:rFonts w:cs="Arial"/>
                <w:i/>
              </w:rPr>
              <w:t>:</w:t>
            </w:r>
          </w:p>
          <w:p w14:paraId="34F0A470" w14:textId="77777777" w:rsidR="00E12D33" w:rsidRPr="00BD7C6B" w:rsidRDefault="00E12D33" w:rsidP="00E12D33">
            <w:pPr>
              <w:pStyle w:val="Prrafodelista"/>
              <w:numPr>
                <w:ilvl w:val="0"/>
                <w:numId w:val="27"/>
              </w:numPr>
              <w:jc w:val="both"/>
            </w:pPr>
            <w:r w:rsidRPr="00E12D33">
              <w:rPr>
                <w:rFonts w:eastAsia="Times New Roman" w:cs="Arial"/>
              </w:rPr>
              <w:t>La validez científica, el valor y bienestar social y el riesgo de daño a los participantes y a la comunidad o grupo.</w:t>
            </w:r>
          </w:p>
          <w:p w14:paraId="0EE12359" w14:textId="349BB31F" w:rsidR="00E12D33" w:rsidRPr="00490F5C" w:rsidRDefault="00E12D33" w:rsidP="00E12D33">
            <w:pPr>
              <w:pStyle w:val="Prrafodelista"/>
              <w:numPr>
                <w:ilvl w:val="0"/>
                <w:numId w:val="27"/>
              </w:numPr>
              <w:jc w:val="both"/>
            </w:pPr>
            <w:r w:rsidRPr="00E12D33">
              <w:rPr>
                <w:rFonts w:eastAsia="Times New Roman" w:cs="Arial"/>
                <w:lang w:val="es-ES"/>
              </w:rPr>
              <w:t>La integridad de los y las participantes en la investigación y la debida protección de su salud física y mental.</w:t>
            </w:r>
          </w:p>
          <w:p w14:paraId="6E15CBD2" w14:textId="2500C760" w:rsidR="00E12D33" w:rsidRPr="00F135F1" w:rsidRDefault="00E12D33" w:rsidP="00E12D33">
            <w:pPr>
              <w:pStyle w:val="Prrafodelista"/>
              <w:numPr>
                <w:ilvl w:val="0"/>
                <w:numId w:val="27"/>
              </w:numPr>
              <w:jc w:val="both"/>
            </w:pPr>
            <w:r w:rsidRPr="00E12D33">
              <w:rPr>
                <w:rFonts w:eastAsia="Times New Roman" w:cs="Arial"/>
                <w:lang w:val="es-ES"/>
              </w:rPr>
              <w:t>Las medidas de salvaguardia de la privacidad de los participantes y confidencialidad de los datos recogidos en la investigación (evitar daño por revelación de información).</w:t>
            </w:r>
          </w:p>
          <w:p w14:paraId="29ED75F5" w14:textId="77777777" w:rsidR="00F135F1" w:rsidRPr="00540A6C" w:rsidRDefault="00F135F1" w:rsidP="00F135F1">
            <w:pPr>
              <w:pStyle w:val="Prrafodelista"/>
              <w:jc w:val="both"/>
              <w:rPr>
                <w:rStyle w:val="hps"/>
              </w:rPr>
            </w:pPr>
          </w:p>
          <w:p w14:paraId="6619FC99" w14:textId="77777777" w:rsidR="00F135F1" w:rsidRDefault="00E12D33" w:rsidP="00992B69">
            <w:pPr>
              <w:pStyle w:val="Prrafodelista"/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Style w:val="hps"/>
                <w:rFonts w:cs="Arial"/>
              </w:rPr>
            </w:pPr>
            <w:r w:rsidRPr="00F135F1">
              <w:rPr>
                <w:rStyle w:val="hps"/>
                <w:rFonts w:cs="Arial"/>
              </w:rPr>
              <w:t>Los revisores presentaran su informe de aprobación al presidente, el cual emitirá la carta de aprobación oficial.</w:t>
            </w:r>
          </w:p>
          <w:p w14:paraId="76AC2563" w14:textId="77777777" w:rsidR="007B5EF4" w:rsidRPr="00F135F1" w:rsidRDefault="00E12D33" w:rsidP="007B5EF4">
            <w:pPr>
              <w:pStyle w:val="Prrafodelista"/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Style w:val="hps"/>
                <w:rFonts w:cs="Arial"/>
              </w:rPr>
            </w:pPr>
            <w:r w:rsidRPr="00F135F1">
              <w:rPr>
                <w:rStyle w:val="hps"/>
                <w:rFonts w:eastAsia="Times New Roman" w:cs="Arial"/>
                <w:lang w:val="es-ES"/>
              </w:rPr>
              <w:t xml:space="preserve">Si los revisores del proyecto de investigación tienen interrogantes, el/la Investigador(a) Principal tendrá la oportunidad de darles respuesta en un periodo de </w:t>
            </w:r>
            <w:r w:rsidR="00F743D7">
              <w:rPr>
                <w:rStyle w:val="hps"/>
                <w:rFonts w:eastAsia="Times New Roman" w:cs="Arial"/>
                <w:lang w:val="es-ES"/>
              </w:rPr>
              <w:t>ocho</w:t>
            </w:r>
            <w:r w:rsidRPr="00F135F1">
              <w:rPr>
                <w:rStyle w:val="hps"/>
                <w:rFonts w:eastAsia="Times New Roman" w:cs="Arial"/>
                <w:lang w:val="es-ES"/>
              </w:rPr>
              <w:t xml:space="preserve"> (</w:t>
            </w:r>
            <w:r w:rsidR="00F743D7">
              <w:rPr>
                <w:rStyle w:val="hps"/>
                <w:rFonts w:eastAsia="Times New Roman" w:cs="Arial"/>
                <w:lang w:val="es-ES"/>
              </w:rPr>
              <w:t>8</w:t>
            </w:r>
            <w:r w:rsidRPr="00F135F1">
              <w:rPr>
                <w:rStyle w:val="hps"/>
                <w:rFonts w:eastAsia="Times New Roman" w:cs="Arial"/>
                <w:lang w:val="es-ES"/>
              </w:rPr>
              <w:t>) días</w:t>
            </w:r>
            <w:r w:rsidR="00F743D7">
              <w:rPr>
                <w:rStyle w:val="hps"/>
                <w:rFonts w:eastAsia="Times New Roman" w:cs="Arial"/>
                <w:lang w:val="es-ES"/>
              </w:rPr>
              <w:t xml:space="preserve"> calendario</w:t>
            </w:r>
            <w:r w:rsidRPr="00F135F1">
              <w:rPr>
                <w:rStyle w:val="hps"/>
                <w:rFonts w:eastAsia="Times New Roman" w:cs="Arial"/>
                <w:lang w:val="es-ES"/>
              </w:rPr>
              <w:t xml:space="preserve"> luego de recibirlas. </w:t>
            </w:r>
            <w:r w:rsidR="007B5EF4">
              <w:rPr>
                <w:rStyle w:val="hps"/>
                <w:rFonts w:eastAsia="Times New Roman" w:cs="Arial"/>
                <w:lang w:val="es-ES"/>
              </w:rPr>
              <w:t>Si la respuesta se dilatara más allá de</w:t>
            </w:r>
            <w:r w:rsidRPr="00F135F1">
              <w:rPr>
                <w:rStyle w:val="hps"/>
                <w:rFonts w:eastAsia="Times New Roman" w:cs="Arial"/>
                <w:lang w:val="es-ES"/>
              </w:rPr>
              <w:t xml:space="preserve"> este periodo, la investigación se tratará según los procedimientos regulares.</w:t>
            </w:r>
            <w:r w:rsidR="007B5EF4">
              <w:rPr>
                <w:rStyle w:val="hps"/>
                <w:rFonts w:eastAsia="Times New Roman" w:cs="Arial"/>
                <w:lang w:val="es-ES"/>
              </w:rPr>
              <w:t xml:space="preserve"> Esto se informará al investigador principal del estudio. </w:t>
            </w:r>
          </w:p>
          <w:p w14:paraId="652A2803" w14:textId="7396AE5D" w:rsidR="00F135F1" w:rsidRPr="00F135F1" w:rsidRDefault="00F135F1" w:rsidP="007B5EF4">
            <w:pPr>
              <w:pStyle w:val="Prrafodelista"/>
              <w:tabs>
                <w:tab w:val="left" w:pos="567"/>
              </w:tabs>
              <w:ind w:left="360"/>
              <w:jc w:val="both"/>
              <w:rPr>
                <w:rStyle w:val="hps"/>
                <w:rFonts w:cs="Arial"/>
              </w:rPr>
            </w:pPr>
          </w:p>
          <w:p w14:paraId="0AECA92C" w14:textId="0CC04502" w:rsidR="00F135F1" w:rsidRPr="00F135F1" w:rsidRDefault="00E12D33" w:rsidP="00F135F1">
            <w:pPr>
              <w:pStyle w:val="Prrafodelista"/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Style w:val="hps"/>
                <w:rFonts w:cs="Arial"/>
              </w:rPr>
            </w:pPr>
            <w:r w:rsidRPr="00F135F1">
              <w:rPr>
                <w:rStyle w:val="hps"/>
                <w:rFonts w:eastAsia="Times New Roman" w:cs="Arial"/>
                <w:lang w:val="es-ES"/>
              </w:rPr>
              <w:t>Luego de la recepción de las respuestas del investigador, los revisores designados las evaluaran en ocho (8) días</w:t>
            </w:r>
            <w:r w:rsidR="007B5EF4">
              <w:rPr>
                <w:rStyle w:val="hps"/>
                <w:rFonts w:eastAsia="Times New Roman" w:cs="Arial"/>
                <w:lang w:val="es-ES"/>
              </w:rPr>
              <w:t xml:space="preserve"> calendario</w:t>
            </w:r>
            <w:r w:rsidRPr="00F135F1">
              <w:rPr>
                <w:rStyle w:val="hps"/>
                <w:rFonts w:eastAsia="Times New Roman" w:cs="Arial"/>
                <w:lang w:val="es-ES"/>
              </w:rPr>
              <w:t xml:space="preserve">, el investigador tendrá el mismo tiempo para su segunda oportunidad de contestar. </w:t>
            </w:r>
          </w:p>
          <w:p w14:paraId="6C66442D" w14:textId="68821623" w:rsidR="00F135F1" w:rsidRPr="00DA67FE" w:rsidRDefault="00E12D33" w:rsidP="00F135F1">
            <w:pPr>
              <w:pStyle w:val="Prrafodelista"/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Style w:val="hps"/>
                <w:rFonts w:cs="Arial"/>
              </w:rPr>
            </w:pPr>
            <w:r w:rsidRPr="00F135F1">
              <w:rPr>
                <w:rStyle w:val="hps"/>
                <w:rFonts w:eastAsia="Times New Roman" w:cs="Arial"/>
                <w:lang w:val="es-ES"/>
              </w:rPr>
              <w:t xml:space="preserve">Si los dos miembros revisores consideran que las respuestas no cumplen con los requisitos o </w:t>
            </w:r>
            <w:r w:rsidRPr="00DA67FE">
              <w:rPr>
                <w:rStyle w:val="hps"/>
                <w:rFonts w:eastAsia="Times New Roman" w:cs="Arial"/>
                <w:lang w:val="es-ES"/>
              </w:rPr>
              <w:t>no llegan a un consenso, el protocolo del estudio será evaluado en la próxim</w:t>
            </w:r>
            <w:r w:rsidR="00AB7131" w:rsidRPr="00DA67FE">
              <w:rPr>
                <w:rStyle w:val="hps"/>
                <w:rFonts w:eastAsia="Times New Roman" w:cs="Arial"/>
                <w:lang w:val="es-ES"/>
              </w:rPr>
              <w:t xml:space="preserve">a reunión ordinaria del Comité como un estudio regular. </w:t>
            </w:r>
            <w:r w:rsidR="007B5EF4" w:rsidRPr="00DA67FE">
              <w:rPr>
                <w:rStyle w:val="hps"/>
                <w:rFonts w:eastAsia="Times New Roman" w:cs="Arial"/>
                <w:lang w:val="es-ES"/>
              </w:rPr>
              <w:t xml:space="preserve">Esto se informará al investigador principal del estudio. </w:t>
            </w:r>
          </w:p>
          <w:p w14:paraId="6BB41A67" w14:textId="0DFADFBE" w:rsidR="00E12D33" w:rsidRPr="00DA67FE" w:rsidRDefault="00E12D33" w:rsidP="00F135F1">
            <w:pPr>
              <w:pStyle w:val="Prrafodelista"/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Style w:val="hps"/>
                <w:rFonts w:cs="Arial"/>
              </w:rPr>
            </w:pPr>
            <w:r w:rsidRPr="00DA67FE">
              <w:rPr>
                <w:rStyle w:val="hps"/>
                <w:rFonts w:eastAsia="Times New Roman"/>
              </w:rPr>
              <w:t xml:space="preserve">Los revisores presentarán un resumen del protocolo en la reunión ordinaria que sigue a la toma de decisión (interrogantes o aprobación). </w:t>
            </w:r>
          </w:p>
          <w:p w14:paraId="45E7E1B5" w14:textId="79E3A204" w:rsidR="00EF2256" w:rsidRDefault="00EF2256" w:rsidP="00EF2256">
            <w:pPr>
              <w:jc w:val="both"/>
              <w:rPr>
                <w:bCs/>
              </w:rPr>
            </w:pPr>
          </w:p>
          <w:p w14:paraId="22220BDC" w14:textId="77777777" w:rsidR="00F135F1" w:rsidRPr="00F135F1" w:rsidRDefault="00F135F1" w:rsidP="00E12D33">
            <w:pPr>
              <w:jc w:val="both"/>
              <w:rPr>
                <w:b/>
                <w:bCs/>
                <w:u w:val="single"/>
              </w:rPr>
            </w:pPr>
            <w:r w:rsidRPr="00F135F1">
              <w:rPr>
                <w:b/>
                <w:bCs/>
                <w:u w:val="single"/>
              </w:rPr>
              <w:t>Tipos de Estudios que pueden optar por la Revisión Expedita</w:t>
            </w:r>
          </w:p>
          <w:p w14:paraId="070A2ECD" w14:textId="6E03C824" w:rsidR="00E12D33" w:rsidRDefault="00E12D33" w:rsidP="00E12D33">
            <w:pPr>
              <w:jc w:val="both"/>
              <w:rPr>
                <w:bCs/>
              </w:rPr>
            </w:pPr>
            <w:r w:rsidRPr="00E12D33">
              <w:rPr>
                <w:bCs/>
              </w:rPr>
              <w:tab/>
            </w:r>
          </w:p>
          <w:p w14:paraId="753D8712" w14:textId="7E382682" w:rsidR="00E12D33" w:rsidRDefault="00E12D33" w:rsidP="00E12D33">
            <w:pPr>
              <w:jc w:val="both"/>
              <w:rPr>
                <w:bCs/>
              </w:rPr>
            </w:pPr>
            <w:r w:rsidRPr="00E12D33">
              <w:rPr>
                <w:bCs/>
              </w:rPr>
              <w:t xml:space="preserve">Estudios de investigación que utilizan una de las metodologías siguientes: </w:t>
            </w:r>
          </w:p>
          <w:p w14:paraId="4B2A5185" w14:textId="77777777" w:rsidR="00F135F1" w:rsidRPr="00E12D33" w:rsidRDefault="00F135F1" w:rsidP="00E12D33">
            <w:pPr>
              <w:jc w:val="both"/>
              <w:rPr>
                <w:bCs/>
              </w:rPr>
            </w:pPr>
          </w:p>
          <w:p w14:paraId="5473A90F" w14:textId="5DA8C962" w:rsidR="00E12D33" w:rsidRPr="00F135F1" w:rsidRDefault="00E12D33" w:rsidP="00F135F1">
            <w:pPr>
              <w:pStyle w:val="Prrafodelista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F135F1">
              <w:rPr>
                <w:bCs/>
              </w:rPr>
              <w:t xml:space="preserve">Investigación por encuesta o cuestionario para adultos y/o niños, anónima, escrita, registrada o por internet que NO incluyan preguntas de índole </w:t>
            </w:r>
            <w:r w:rsidR="00F135F1" w:rsidRPr="00F135F1">
              <w:rPr>
                <w:bCs/>
              </w:rPr>
              <w:t>étnico</w:t>
            </w:r>
            <w:r w:rsidRPr="00F135F1">
              <w:rPr>
                <w:bCs/>
              </w:rPr>
              <w:t xml:space="preserve"> discriminatorio, preguntas personales preguntas sobre violencia u otra situación/enfermedad de notificación obligatoria según las leyes nacionales; </w:t>
            </w:r>
          </w:p>
          <w:p w14:paraId="74299776" w14:textId="23256162" w:rsidR="00E12D33" w:rsidRPr="00F135F1" w:rsidRDefault="00E12D33" w:rsidP="00F135F1">
            <w:pPr>
              <w:pStyle w:val="Prrafodelista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F135F1">
              <w:rPr>
                <w:bCs/>
              </w:rPr>
              <w:t xml:space="preserve">Análisis de serie de expedientes clínicos que serán anonimizados  </w:t>
            </w:r>
          </w:p>
          <w:p w14:paraId="7AA48319" w14:textId="787C48C7" w:rsidR="00E12D33" w:rsidRPr="00F135F1" w:rsidRDefault="00E12D33" w:rsidP="00F135F1">
            <w:pPr>
              <w:pStyle w:val="Prrafodelista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F135F1">
              <w:rPr>
                <w:bCs/>
              </w:rPr>
              <w:t>Investigación basada en observación en sitios públicos con toma de fotografías o videos auto</w:t>
            </w:r>
            <w:r w:rsidR="00992B69">
              <w:rPr>
                <w:bCs/>
              </w:rPr>
              <w:t xml:space="preserve">rizados por los participantes; </w:t>
            </w:r>
            <w:r w:rsidRPr="00F135F1">
              <w:rPr>
                <w:bCs/>
              </w:rPr>
              <w:t xml:space="preserve">grupos focales o entrevistas de informantes claves </w:t>
            </w:r>
            <w:r w:rsidR="00F135F1" w:rsidRPr="00F135F1">
              <w:rPr>
                <w:bCs/>
              </w:rPr>
              <w:t>anónimas</w:t>
            </w:r>
            <w:r w:rsidR="00AB7131">
              <w:rPr>
                <w:bCs/>
              </w:rPr>
              <w:t>.</w:t>
            </w:r>
          </w:p>
          <w:p w14:paraId="14465264" w14:textId="49A498FF" w:rsidR="00E12D33" w:rsidRPr="00F135F1" w:rsidRDefault="00F135F1" w:rsidP="00F135F1">
            <w:pPr>
              <w:pStyle w:val="Prrafodelista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F135F1">
              <w:rPr>
                <w:bCs/>
              </w:rPr>
              <w:t>I</w:t>
            </w:r>
            <w:r w:rsidR="00E12D33" w:rsidRPr="00F135F1">
              <w:rPr>
                <w:bCs/>
              </w:rPr>
              <w:t xml:space="preserve">nvestigación bioestadística, epidemiológica y/o genérica que utiliza identificadores de sujetos, datos privados o información restringida. </w:t>
            </w:r>
          </w:p>
          <w:p w14:paraId="68D386FD" w14:textId="0B855F03" w:rsidR="00E12D33" w:rsidRPr="00F135F1" w:rsidRDefault="00E12D33" w:rsidP="00F135F1">
            <w:pPr>
              <w:pStyle w:val="Prrafodelista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F135F1">
              <w:rPr>
                <w:bCs/>
              </w:rPr>
              <w:t xml:space="preserve">Investigación durante desastres, epidemias y urgencias notorias presentadas por el Ministerio de Salud de Panamá (MINSA). Estas solicitudes se discutirán en una reunión extraordinaria del Comité. </w:t>
            </w:r>
          </w:p>
          <w:p w14:paraId="15EE8EC0" w14:textId="75426B8F" w:rsidR="00E12D33" w:rsidRPr="00F135F1" w:rsidRDefault="00E12D33" w:rsidP="00F135F1">
            <w:pPr>
              <w:pStyle w:val="Prrafodelista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F135F1">
              <w:rPr>
                <w:bCs/>
              </w:rPr>
              <w:t>Estudios de mercado.</w:t>
            </w:r>
          </w:p>
          <w:p w14:paraId="7BE7125F" w14:textId="4A801CBB" w:rsidR="00E12D33" w:rsidRPr="00F135F1" w:rsidRDefault="00E12D33" w:rsidP="00F135F1">
            <w:pPr>
              <w:pStyle w:val="Prrafodelista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F135F1">
              <w:rPr>
                <w:bCs/>
              </w:rPr>
              <w:t xml:space="preserve">Sondeos periodísticos o de censo. </w:t>
            </w:r>
          </w:p>
          <w:p w14:paraId="2CCB7C93" w14:textId="66CBD75D" w:rsidR="00E12D33" w:rsidRPr="00F135F1" w:rsidRDefault="00E12D33" w:rsidP="00F135F1">
            <w:pPr>
              <w:pStyle w:val="Prrafodelista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F135F1">
              <w:rPr>
                <w:bCs/>
              </w:rPr>
              <w:lastRenderedPageBreak/>
              <w:t xml:space="preserve">Actividades educativas: proyecto de investigación de estudiantes con fines formativos en el marco de presentación en congresos, tesis de licenciatura. </w:t>
            </w:r>
          </w:p>
          <w:p w14:paraId="7ED6B4D6" w14:textId="0C69FA2E" w:rsidR="00E12D33" w:rsidRDefault="00E12D33" w:rsidP="00E12D33">
            <w:pPr>
              <w:jc w:val="both"/>
              <w:rPr>
                <w:bCs/>
              </w:rPr>
            </w:pPr>
          </w:p>
          <w:p w14:paraId="664C971D" w14:textId="4640C43E" w:rsidR="00E12D33" w:rsidRPr="00331E62" w:rsidRDefault="00E12D33" w:rsidP="00331E62">
            <w:pPr>
              <w:pStyle w:val="Ttulo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1E62">
              <w:rPr>
                <w:rFonts w:asciiTheme="minorHAnsi" w:hAnsiTheme="minorHAnsi" w:cs="Arial"/>
                <w:color w:val="auto"/>
                <w:sz w:val="22"/>
                <w:szCs w:val="22"/>
              </w:rPr>
              <w:t>Revisión Continua Expedita:</w:t>
            </w:r>
          </w:p>
          <w:p w14:paraId="3DB558AA" w14:textId="77777777" w:rsidR="00624401" w:rsidRPr="00624401" w:rsidRDefault="00624401" w:rsidP="00624401"/>
          <w:p w14:paraId="234E3311" w14:textId="318118C6" w:rsidR="00E12D33" w:rsidRPr="00A4344B" w:rsidRDefault="00E12D33" w:rsidP="00331E6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="Arial"/>
              </w:rPr>
            </w:pPr>
            <w:r w:rsidRPr="00A4344B">
              <w:rPr>
                <w:rStyle w:val="hps"/>
                <w:rFonts w:eastAsia="Times New Roman" w:cs="Arial"/>
                <w:b/>
                <w:i/>
                <w:lang w:val="es-ES"/>
              </w:rPr>
              <w:t>Definición:</w:t>
            </w:r>
            <w:r w:rsidRPr="00A4344B">
              <w:rPr>
                <w:rStyle w:val="hps"/>
                <w:rFonts w:eastAsia="Times New Roman" w:cs="Arial"/>
                <w:lang w:val="es-ES"/>
              </w:rPr>
              <w:t xml:space="preserve"> </w:t>
            </w:r>
            <w:r>
              <w:rPr>
                <w:rFonts w:eastAsia="Times New Roman" w:cs="Arial"/>
              </w:rPr>
              <w:t>E</w:t>
            </w:r>
            <w:r w:rsidRPr="00A4344B">
              <w:rPr>
                <w:rFonts w:eastAsia="Times New Roman" w:cs="Arial"/>
              </w:rPr>
              <w:t xml:space="preserve">l procedimiento de revisión </w:t>
            </w:r>
            <w:r>
              <w:rPr>
                <w:rFonts w:eastAsia="Times New Roman" w:cs="Arial"/>
              </w:rPr>
              <w:t xml:space="preserve">continua </w:t>
            </w:r>
            <w:r w:rsidRPr="00A4344B">
              <w:rPr>
                <w:rFonts w:eastAsia="Times New Roman" w:cs="Arial"/>
              </w:rPr>
              <w:t xml:space="preserve">expedita </w:t>
            </w:r>
            <w:r>
              <w:rPr>
                <w:rFonts w:eastAsia="Times New Roman" w:cs="Arial"/>
              </w:rPr>
              <w:t xml:space="preserve">se utiliza </w:t>
            </w:r>
            <w:r w:rsidRPr="00A4344B">
              <w:rPr>
                <w:rFonts w:eastAsia="Times New Roman" w:cs="Arial"/>
              </w:rPr>
              <w:t xml:space="preserve">para revisar cambios </w:t>
            </w:r>
            <w:r>
              <w:rPr>
                <w:rFonts w:eastAsia="Times New Roman" w:cs="Arial"/>
              </w:rPr>
              <w:t xml:space="preserve">administrativos o </w:t>
            </w:r>
            <w:r w:rsidR="00624401">
              <w:rPr>
                <w:rFonts w:eastAsia="Times New Roman" w:cs="Arial"/>
              </w:rPr>
              <w:t>mínimos</w:t>
            </w:r>
            <w:r>
              <w:rPr>
                <w:rFonts w:eastAsia="Times New Roman" w:cs="Arial"/>
              </w:rPr>
              <w:t xml:space="preserve"> </w:t>
            </w:r>
            <w:r w:rsidRPr="00A4344B">
              <w:rPr>
                <w:rFonts w:eastAsia="Times New Roman" w:cs="Arial"/>
              </w:rPr>
              <w:t xml:space="preserve">en una investigación previamente aprobada durante el período </w:t>
            </w:r>
            <w:r>
              <w:rPr>
                <w:rFonts w:eastAsia="Times New Roman" w:cs="Arial"/>
              </w:rPr>
              <w:t>de vigencia de</w:t>
            </w:r>
            <w:r w:rsidRPr="00A4344B">
              <w:rPr>
                <w:rFonts w:eastAsia="Times New Roman" w:cs="Arial"/>
              </w:rPr>
              <w:t xml:space="preserve"> dicha aprobación.  </w:t>
            </w:r>
            <w:r w:rsidRPr="00CD1255">
              <w:rPr>
                <w:rFonts w:eastAsia="Times New Roman" w:cs="Arial"/>
                <w:b/>
              </w:rPr>
              <w:t>No</w:t>
            </w:r>
            <w:r>
              <w:rPr>
                <w:rFonts w:eastAsia="Times New Roman" w:cs="Arial"/>
              </w:rPr>
              <w:t xml:space="preserve"> incluye la</w:t>
            </w:r>
            <w:r w:rsidRPr="00A4344B">
              <w:rPr>
                <w:rFonts w:eastAsia="Times New Roman" w:cs="Arial"/>
              </w:rPr>
              <w:t xml:space="preserve"> revisión de </w:t>
            </w:r>
            <w:r>
              <w:rPr>
                <w:rFonts w:eastAsia="Times New Roman" w:cs="Arial"/>
              </w:rPr>
              <w:t>enmiendas (</w:t>
            </w:r>
            <w:r w:rsidRPr="00A4344B">
              <w:rPr>
                <w:rFonts w:eastAsia="Times New Roman" w:cs="Arial"/>
              </w:rPr>
              <w:t>cambios al protocolo</w:t>
            </w:r>
            <w:r>
              <w:rPr>
                <w:rFonts w:eastAsia="Times New Roman" w:cs="Arial"/>
              </w:rPr>
              <w:t>)</w:t>
            </w:r>
            <w:r w:rsidRPr="00A4344B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ni cambios que indican</w:t>
            </w:r>
            <w:r w:rsidRPr="00A4344B">
              <w:rPr>
                <w:rFonts w:eastAsia="Times New Roman" w:cs="Arial"/>
              </w:rPr>
              <w:t xml:space="preserve"> un riesgo mayor al mínimo para los </w:t>
            </w:r>
            <w:r>
              <w:rPr>
                <w:rFonts w:eastAsia="Times New Roman" w:cs="Arial"/>
              </w:rPr>
              <w:t xml:space="preserve">participantes; ambos </w:t>
            </w:r>
            <w:r w:rsidRPr="00A4344B">
              <w:rPr>
                <w:rFonts w:eastAsia="Times New Roman" w:cs="Arial"/>
              </w:rPr>
              <w:t>debe</w:t>
            </w:r>
            <w:r>
              <w:rPr>
                <w:rFonts w:eastAsia="Times New Roman" w:cs="Arial"/>
              </w:rPr>
              <w:t>n seguir el procedi</w:t>
            </w:r>
            <w:r w:rsidR="00624401">
              <w:rPr>
                <w:rFonts w:eastAsia="Times New Roman" w:cs="Arial"/>
              </w:rPr>
              <w:t xml:space="preserve">miento de revisión de enmiendas. </w:t>
            </w:r>
          </w:p>
          <w:p w14:paraId="0A09CC80" w14:textId="00893E52" w:rsidR="00E12D33" w:rsidRPr="00BD3FDF" w:rsidRDefault="00E12D33" w:rsidP="00331E62">
            <w:pPr>
              <w:pStyle w:val="Prrafodelista"/>
              <w:numPr>
                <w:ilvl w:val="1"/>
                <w:numId w:val="34"/>
              </w:numPr>
              <w:ind w:left="1069" w:hanging="709"/>
              <w:jc w:val="both"/>
              <w:rPr>
                <w:rStyle w:val="hps"/>
                <w:rFonts w:cs="Arial"/>
              </w:rPr>
            </w:pPr>
            <w:r>
              <w:rPr>
                <w:rStyle w:val="hps"/>
                <w:rFonts w:eastAsia="Times New Roman" w:cs="Arial"/>
                <w:b/>
                <w:i/>
                <w:lang w:val="es-ES"/>
              </w:rPr>
              <w:t xml:space="preserve">La </w:t>
            </w:r>
            <w:r w:rsidRPr="00A4344B">
              <w:rPr>
                <w:rStyle w:val="hps"/>
                <w:rFonts w:eastAsia="Times New Roman" w:cs="Arial"/>
                <w:b/>
                <w:i/>
                <w:lang w:val="es-ES"/>
              </w:rPr>
              <w:t>Revisión continua expedita</w:t>
            </w:r>
            <w:r w:rsidRPr="00A4344B">
              <w:rPr>
                <w:rStyle w:val="hps"/>
                <w:rFonts w:eastAsia="Times New Roman" w:cs="Arial"/>
                <w:lang w:val="es-ES"/>
              </w:rPr>
              <w:t xml:space="preserve"> de un estudio de investigación previamente</w:t>
            </w:r>
            <w:r w:rsidRPr="00A4344B">
              <w:rPr>
                <w:rFonts w:eastAsia="Times New Roman" w:cs="Arial"/>
                <w:lang w:val="es-ES"/>
              </w:rPr>
              <w:t xml:space="preserve"> </w:t>
            </w:r>
            <w:r w:rsidR="00624401">
              <w:rPr>
                <w:rStyle w:val="hps"/>
                <w:rFonts w:eastAsia="Times New Roman" w:cs="Arial"/>
                <w:lang w:val="es-ES"/>
              </w:rPr>
              <w:t>aprobado por un comité de bioética de la investigación</w:t>
            </w:r>
            <w:r w:rsidRPr="00A4344B">
              <w:rPr>
                <w:rStyle w:val="hps"/>
                <w:rFonts w:eastAsia="Times New Roman" w:cs="Arial"/>
                <w:lang w:val="es-ES"/>
              </w:rPr>
              <w:t xml:space="preserve"> </w:t>
            </w:r>
            <w:r w:rsidRPr="00A4344B">
              <w:rPr>
                <w:rFonts w:eastAsia="Times New Roman" w:cs="Arial"/>
                <w:lang w:val="es-ES"/>
              </w:rPr>
              <w:t xml:space="preserve">se puede realizar </w:t>
            </w:r>
            <w:r w:rsidRPr="00A4344B">
              <w:rPr>
                <w:rStyle w:val="hps"/>
                <w:rFonts w:eastAsia="Times New Roman" w:cs="Arial"/>
                <w:lang w:val="es-ES"/>
              </w:rPr>
              <w:t>en las siguientes situaciones</w:t>
            </w:r>
            <w:r w:rsidRPr="00A4344B">
              <w:rPr>
                <w:rFonts w:eastAsia="Times New Roman" w:cs="Arial"/>
                <w:lang w:val="es-ES"/>
              </w:rPr>
              <w:t>:</w:t>
            </w:r>
            <w:r>
              <w:rPr>
                <w:rFonts w:eastAsia="Times New Roman" w:cs="Arial"/>
                <w:lang w:val="es-ES"/>
              </w:rPr>
              <w:t xml:space="preserve"> </w:t>
            </w:r>
          </w:p>
          <w:p w14:paraId="34F6FC41" w14:textId="77777777" w:rsidR="00E12D33" w:rsidRPr="00BD3FDF" w:rsidRDefault="00E12D33" w:rsidP="00624401">
            <w:pPr>
              <w:pStyle w:val="Prrafodelista"/>
              <w:numPr>
                <w:ilvl w:val="1"/>
                <w:numId w:val="22"/>
              </w:numPr>
              <w:ind w:left="1069" w:hanging="283"/>
              <w:jc w:val="both"/>
              <w:rPr>
                <w:rStyle w:val="hps"/>
                <w:rFonts w:cs="Arial"/>
              </w:rPr>
            </w:pPr>
            <w:r>
              <w:rPr>
                <w:rStyle w:val="hps"/>
                <w:rFonts w:eastAsia="Times New Roman" w:cs="Arial"/>
                <w:lang w:val="es-ES"/>
              </w:rPr>
              <w:t>L</w:t>
            </w:r>
            <w:r w:rsidRPr="00BD3FDF">
              <w:rPr>
                <w:rStyle w:val="hps"/>
                <w:rFonts w:eastAsia="Times New Roman" w:cs="Arial"/>
                <w:lang w:val="es-ES"/>
              </w:rPr>
              <w:t>a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investigación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>
              <w:rPr>
                <w:rFonts w:eastAsia="Times New Roman" w:cs="Arial"/>
                <w:lang w:val="es-ES"/>
              </w:rPr>
              <w:t xml:space="preserve">ya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está cerrada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al enrolamiento de nuevos participantes</w:t>
            </w:r>
            <w:r w:rsidRPr="00BD3FDF">
              <w:rPr>
                <w:rFonts w:eastAsia="Times New Roman" w:cs="Arial"/>
                <w:lang w:val="es-ES"/>
              </w:rPr>
              <w:t xml:space="preserve">; </w:t>
            </w:r>
          </w:p>
          <w:p w14:paraId="02381479" w14:textId="77777777" w:rsidR="00E12D33" w:rsidRPr="00BD3FDF" w:rsidRDefault="00E12D33" w:rsidP="00624401">
            <w:pPr>
              <w:pStyle w:val="Prrafodelista"/>
              <w:numPr>
                <w:ilvl w:val="1"/>
                <w:numId w:val="22"/>
              </w:numPr>
              <w:ind w:left="1069" w:hanging="283"/>
              <w:jc w:val="both"/>
              <w:rPr>
                <w:rStyle w:val="hps"/>
                <w:rFonts w:cs="Arial"/>
              </w:rPr>
            </w:pPr>
            <w:r>
              <w:rPr>
                <w:rStyle w:val="hps"/>
                <w:rFonts w:eastAsia="Times New Roman" w:cs="Arial"/>
                <w:lang w:val="es-ES"/>
              </w:rPr>
              <w:t>T</w:t>
            </w:r>
            <w:r w:rsidRPr="00BD3FDF">
              <w:rPr>
                <w:rStyle w:val="hps"/>
                <w:rFonts w:eastAsia="Times New Roman" w:cs="Arial"/>
                <w:lang w:val="es-ES"/>
              </w:rPr>
              <w:t>odos los participantes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han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completado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todas las intervenciones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relacionadas con la investigación</w:t>
            </w:r>
            <w:r>
              <w:rPr>
                <w:rFonts w:eastAsia="Times New Roman" w:cs="Arial"/>
                <w:lang w:val="es-ES"/>
              </w:rPr>
              <w:t xml:space="preserve"> y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la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investigación sigue estando activa solamente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 xml:space="preserve">para </w:t>
            </w:r>
            <w:r>
              <w:rPr>
                <w:rStyle w:val="hps"/>
                <w:rFonts w:eastAsia="Times New Roman" w:cs="Arial"/>
                <w:lang w:val="es-ES"/>
              </w:rPr>
              <w:t>el</w:t>
            </w:r>
            <w:r w:rsidRPr="00BD3FDF">
              <w:rPr>
                <w:rStyle w:val="hps"/>
                <w:rFonts w:eastAsia="Times New Roman" w:cs="Arial"/>
                <w:lang w:val="es-ES"/>
              </w:rPr>
              <w:t xml:space="preserve"> seguimiento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a largo plazo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de los participantes</w:t>
            </w:r>
            <w:r w:rsidRPr="00BD3FDF">
              <w:rPr>
                <w:rFonts w:eastAsia="Times New Roman" w:cs="Arial"/>
                <w:lang w:val="es-ES"/>
              </w:rPr>
              <w:t xml:space="preserve">; </w:t>
            </w:r>
          </w:p>
          <w:p w14:paraId="3C7604AE" w14:textId="77777777" w:rsidR="00E12D33" w:rsidRPr="00BD3FDF" w:rsidRDefault="00E12D33" w:rsidP="00624401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Style w:val="hps"/>
                <w:rFonts w:eastAsia="Times New Roman" w:cs="Arial"/>
                <w:lang w:val="es-ES"/>
              </w:rPr>
              <w:t>C</w:t>
            </w:r>
            <w:r w:rsidRPr="00BD3FDF">
              <w:rPr>
                <w:rStyle w:val="hps"/>
                <w:rFonts w:eastAsia="Times New Roman" w:cs="Arial"/>
                <w:lang w:val="es-ES"/>
              </w:rPr>
              <w:t>uando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no hay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participantes nuevos y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no hay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riesgos adicionales</w:t>
            </w:r>
            <w:r w:rsidRPr="00BD3FDF">
              <w:rPr>
                <w:rFonts w:eastAsia="Times New Roman" w:cs="Arial"/>
                <w:lang w:val="es-ES"/>
              </w:rPr>
              <w:t xml:space="preserve"> que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han sido identificados</w:t>
            </w:r>
            <w:r w:rsidRPr="00BD3FDF">
              <w:rPr>
                <w:rFonts w:eastAsia="Times New Roman" w:cs="Arial"/>
                <w:lang w:val="es-ES"/>
              </w:rPr>
              <w:t xml:space="preserve">;  </w:t>
            </w:r>
          </w:p>
          <w:p w14:paraId="169E4CD3" w14:textId="1DE0B422" w:rsidR="00E12D33" w:rsidRPr="00624401" w:rsidRDefault="00E12D33" w:rsidP="00624401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Style w:val="hps"/>
                <w:rFonts w:eastAsia="Times New Roman" w:cs="Arial"/>
                <w:lang w:val="es-ES"/>
              </w:rPr>
              <w:t>C</w:t>
            </w:r>
            <w:r w:rsidRPr="00BD3FDF">
              <w:rPr>
                <w:rStyle w:val="hps"/>
                <w:rFonts w:eastAsia="Times New Roman" w:cs="Arial"/>
                <w:lang w:val="es-ES"/>
              </w:rPr>
              <w:t>uando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las actividades pendientes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de la investigación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se limitan</w:t>
            </w:r>
            <w:r w:rsidRPr="00BD3FDF">
              <w:rPr>
                <w:rFonts w:eastAsia="Times New Roman" w:cs="Arial"/>
                <w:lang w:val="es-ES"/>
              </w:rPr>
              <w:t xml:space="preserve"> </w:t>
            </w:r>
            <w:r w:rsidRPr="00BD3FDF">
              <w:rPr>
                <w:rStyle w:val="hps"/>
                <w:rFonts w:eastAsia="Times New Roman" w:cs="Arial"/>
                <w:lang w:val="es-ES"/>
              </w:rPr>
              <w:t>al análisis de datos estadísticos</w:t>
            </w:r>
            <w:r w:rsidRPr="00BD3FDF">
              <w:rPr>
                <w:rFonts w:eastAsia="Times New Roman" w:cs="Arial"/>
                <w:lang w:val="es-ES"/>
              </w:rPr>
              <w:t>.</w:t>
            </w:r>
          </w:p>
          <w:p w14:paraId="506B4901" w14:textId="77777777" w:rsidR="00624401" w:rsidRPr="00624401" w:rsidRDefault="00624401" w:rsidP="00624401">
            <w:pPr>
              <w:ind w:left="708"/>
              <w:jc w:val="both"/>
              <w:rPr>
                <w:rFonts w:cs="Arial"/>
              </w:rPr>
            </w:pPr>
          </w:p>
          <w:p w14:paraId="51F5FB51" w14:textId="77777777" w:rsidR="00E12D33" w:rsidRPr="00BE4643" w:rsidRDefault="00E12D33" w:rsidP="00331E62">
            <w:pPr>
              <w:pStyle w:val="Prrafodelista"/>
              <w:numPr>
                <w:ilvl w:val="1"/>
                <w:numId w:val="34"/>
              </w:numPr>
              <w:ind w:left="709" w:hanging="709"/>
              <w:jc w:val="both"/>
              <w:rPr>
                <w:rStyle w:val="hps"/>
                <w:rFonts w:cs="Arial"/>
              </w:rPr>
            </w:pPr>
            <w:r w:rsidRPr="00BE4643">
              <w:rPr>
                <w:rStyle w:val="hps"/>
                <w:rFonts w:eastAsia="Times New Roman" w:cs="Arial"/>
                <w:b/>
                <w:i/>
                <w:lang w:val="es-ES"/>
              </w:rPr>
              <w:t>Puntos adicionales que pueden ser revisados</w:t>
            </w:r>
            <w:r w:rsidRPr="00BE4643">
              <w:rPr>
                <w:rStyle w:val="hps"/>
                <w:rFonts w:eastAsia="Times New Roman" w:cs="Arial"/>
                <w:lang w:val="es-ES"/>
              </w:rPr>
              <w:t>:</w:t>
            </w:r>
          </w:p>
          <w:p w14:paraId="64B722E6" w14:textId="77777777" w:rsidR="00E12D33" w:rsidRPr="00124B2C" w:rsidRDefault="00E12D33" w:rsidP="00E12D3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124B2C">
              <w:rPr>
                <w:rFonts w:cs="Arial"/>
                <w:i/>
              </w:rPr>
              <w:t>Aprobación pendiente de respuesta a observaciones menores o mínimas en los documentos sometidos</w:t>
            </w:r>
            <w:r w:rsidRPr="00124B2C">
              <w:rPr>
                <w:rFonts w:cs="Arial"/>
              </w:rPr>
              <w:t xml:space="preserve"> como resultado de una evaluación completa previa por el Pleno del Comité y como una condición final para su aprobación.</w:t>
            </w:r>
          </w:p>
          <w:p w14:paraId="60C2AE8A" w14:textId="719CBA56" w:rsidR="00E12D33" w:rsidRPr="00124B2C" w:rsidRDefault="00E12D33" w:rsidP="00E12D3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124B2C">
              <w:rPr>
                <w:rFonts w:cs="Arial"/>
                <w:i/>
              </w:rPr>
              <w:t>Revisión de l</w:t>
            </w:r>
            <w:r w:rsidR="007B5EF4">
              <w:rPr>
                <w:rFonts w:cs="Arial"/>
                <w:i/>
              </w:rPr>
              <w:t>a</w:t>
            </w:r>
            <w:r w:rsidRPr="00124B2C">
              <w:rPr>
                <w:rFonts w:cs="Arial"/>
                <w:i/>
              </w:rPr>
              <w:t>s Actualizaciones de documentos del Consentimiento Informado</w:t>
            </w:r>
            <w:r w:rsidRPr="00124B2C">
              <w:rPr>
                <w:rFonts w:cs="Arial"/>
              </w:rPr>
              <w:t xml:space="preserve">: Cambios menores y/o administrativos a los documentos del consentimiento informado que no afectan los derechos y el bienestar de los </w:t>
            </w:r>
            <w:r>
              <w:rPr>
                <w:rFonts w:cs="Arial"/>
              </w:rPr>
              <w:t>participantes</w:t>
            </w:r>
            <w:r w:rsidRPr="00124B2C">
              <w:rPr>
                <w:rFonts w:cs="Arial"/>
              </w:rPr>
              <w:t xml:space="preserve"> del estudio, o que no involucran un riesgo mayor o cambios significativos en los procedimientos del estudio.</w:t>
            </w:r>
          </w:p>
          <w:p w14:paraId="1365BE40" w14:textId="0266707D" w:rsidR="007F6F91" w:rsidRPr="00AB7131" w:rsidRDefault="007F6F91" w:rsidP="00AB713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9693DC7" w14:textId="562CB5A5" w:rsidR="00262D3C" w:rsidRPr="00EF2256" w:rsidRDefault="00262D3C" w:rsidP="00E12D33">
            <w:pPr>
              <w:pStyle w:val="Prrafodelista"/>
              <w:ind w:left="144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6EF93E7" w14:textId="77777777" w:rsidR="00471446" w:rsidRPr="00262D3C" w:rsidRDefault="00471446" w:rsidP="0047144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009BE8A" w14:textId="77777777" w:rsidR="00A85348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BE06A0" w14:paraId="3981D036" w14:textId="77777777" w:rsidTr="00DF764A">
        <w:tc>
          <w:tcPr>
            <w:tcW w:w="8978" w:type="dxa"/>
            <w:shd w:val="clear" w:color="auto" w:fill="C2D69B" w:themeFill="accent3" w:themeFillTint="99"/>
          </w:tcPr>
          <w:p w14:paraId="20DF81C3" w14:textId="77777777" w:rsidR="00471446" w:rsidRPr="00BE06A0" w:rsidRDefault="00471446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BE06A0" w14:paraId="442D44D6" w14:textId="77777777" w:rsidTr="006D3D13">
        <w:tc>
          <w:tcPr>
            <w:tcW w:w="8978" w:type="dxa"/>
          </w:tcPr>
          <w:p w14:paraId="3819786A" w14:textId="76BDB5A6" w:rsidR="00BB3581" w:rsidRPr="00BE06A0" w:rsidRDefault="00BB3581" w:rsidP="006D3D13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17B6A6C7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5528DC62" w14:textId="77777777" w:rsidR="001546EB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BE06A0">
        <w:rPr>
          <w:rFonts w:cstheme="minorHAnsi"/>
          <w:sz w:val="24"/>
          <w:szCs w:val="24"/>
        </w:rPr>
        <w:lastRenderedPageBreak/>
        <w:t xml:space="preserve"> </w:t>
      </w: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546EB" w:rsidRPr="00BE06A0" w14:paraId="39D7D4FA" w14:textId="77777777" w:rsidTr="00DF764A">
        <w:tc>
          <w:tcPr>
            <w:tcW w:w="8978" w:type="dxa"/>
            <w:shd w:val="clear" w:color="auto" w:fill="C2D69B" w:themeFill="accent3" w:themeFillTint="99"/>
            <w:vAlign w:val="center"/>
          </w:tcPr>
          <w:p w14:paraId="1B9B8F5E" w14:textId="77777777" w:rsidR="001546EB" w:rsidRPr="00BE06A0" w:rsidRDefault="001546EB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4"/>
        <w:gridCol w:w="2203"/>
        <w:gridCol w:w="2218"/>
      </w:tblGrid>
      <w:tr w:rsidR="00CA4235" w:rsidRPr="00BE06A0" w14:paraId="172E05BA" w14:textId="77777777" w:rsidTr="00BE06A0">
        <w:tc>
          <w:tcPr>
            <w:tcW w:w="2244" w:type="dxa"/>
            <w:shd w:val="clear" w:color="auto" w:fill="C2D69B" w:themeFill="accent3" w:themeFillTint="99"/>
            <w:vAlign w:val="center"/>
          </w:tcPr>
          <w:p w14:paraId="28124DC5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613E34F6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2A82BCA0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48B183E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BE06A0" w14:paraId="07FC5ED5" w14:textId="77777777" w:rsidTr="00471446">
        <w:tc>
          <w:tcPr>
            <w:tcW w:w="2244" w:type="dxa"/>
            <w:vAlign w:val="center"/>
          </w:tcPr>
          <w:p w14:paraId="5B9E6625" w14:textId="77777777"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66C16E68" w14:textId="77777777"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25B58B3C" w14:textId="77777777"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40AB5583" w14:textId="77777777"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7CEB57E" w14:textId="77777777" w:rsidR="00CA4235" w:rsidRPr="00BE06A0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51B115BD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2209"/>
        <w:gridCol w:w="2210"/>
      </w:tblGrid>
      <w:tr w:rsidR="001335DF" w:rsidRPr="00BE06A0" w14:paraId="1FC02957" w14:textId="77777777" w:rsidTr="00DA736A">
        <w:tc>
          <w:tcPr>
            <w:tcW w:w="8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119BC423" w14:textId="77777777" w:rsidR="001335DF" w:rsidRPr="00BE06A0" w:rsidRDefault="001335DF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BE06A0" w14:paraId="68948933" w14:textId="77777777" w:rsidTr="00DA736A">
        <w:tc>
          <w:tcPr>
            <w:tcW w:w="4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29FEB20B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2B0115C2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63AC6B12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14:paraId="45C4FCFA" w14:textId="77777777" w:rsidTr="00DA736A">
        <w:trPr>
          <w:trHeight w:val="469"/>
        </w:trPr>
        <w:tc>
          <w:tcPr>
            <w:tcW w:w="4488" w:type="dxa"/>
            <w:tcBorders>
              <w:top w:val="dotted" w:sz="4" w:space="0" w:color="auto"/>
            </w:tcBorders>
            <w:vAlign w:val="center"/>
          </w:tcPr>
          <w:p w14:paraId="028ECD33" w14:textId="77777777" w:rsidR="00A85348" w:rsidRPr="00BE06A0" w:rsidRDefault="00A85348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14:paraId="3B62D4E6" w14:textId="77777777"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14:paraId="598E5E50" w14:textId="77777777"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BE06A0" w14:paraId="2DD51323" w14:textId="77777777" w:rsidTr="00DA736A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14:paraId="3129DB76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BE06A0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BE06A0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BE06A0" w14:paraId="7CA32AF5" w14:textId="77777777" w:rsidTr="00DA736A">
        <w:tc>
          <w:tcPr>
            <w:tcW w:w="4488" w:type="dxa"/>
            <w:shd w:val="clear" w:color="auto" w:fill="C2D69B" w:themeFill="accent3" w:themeFillTint="99"/>
            <w:vAlign w:val="center"/>
          </w:tcPr>
          <w:p w14:paraId="624BF450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16E88FA9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2DBFDC4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14:paraId="28A6732E" w14:textId="77777777" w:rsidTr="006D3D13">
        <w:trPr>
          <w:trHeight w:val="469"/>
        </w:trPr>
        <w:tc>
          <w:tcPr>
            <w:tcW w:w="4488" w:type="dxa"/>
            <w:vAlign w:val="center"/>
          </w:tcPr>
          <w:p w14:paraId="1AB3E26E" w14:textId="77777777" w:rsidR="00371690" w:rsidRPr="00BE06A0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025F52" w14:textId="77777777" w:rsidR="00371690" w:rsidRPr="00BE06A0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0F7999" w14:textId="77777777" w:rsidR="0060493A" w:rsidRPr="00BE06A0" w:rsidRDefault="008341C7" w:rsidP="008438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>Presidente del C</w:t>
            </w:r>
            <w:r w:rsidR="00843844" w:rsidRPr="00BE06A0">
              <w:rPr>
                <w:rFonts w:cstheme="minorHAnsi"/>
                <w:sz w:val="24"/>
                <w:szCs w:val="24"/>
              </w:rPr>
              <w:t>NBI</w:t>
            </w:r>
          </w:p>
        </w:tc>
        <w:tc>
          <w:tcPr>
            <w:tcW w:w="2245" w:type="dxa"/>
            <w:vAlign w:val="center"/>
          </w:tcPr>
          <w:p w14:paraId="5CB8ADE3" w14:textId="77777777"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33F3BD00" w14:textId="77777777"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49D7ECF" w14:textId="77777777" w:rsidR="00CA4235" w:rsidRPr="00BE06A0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BE06A0" w:rsidSect="00781A7C">
      <w:headerReference w:type="default" r:id="rId8"/>
      <w:footerReference w:type="default" r:id="rId9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4DFC5" w14:textId="77777777" w:rsidR="006055BD" w:rsidRDefault="006055BD" w:rsidP="00CA4235">
      <w:pPr>
        <w:spacing w:after="0" w:line="240" w:lineRule="auto"/>
      </w:pPr>
      <w:r>
        <w:separator/>
      </w:r>
    </w:p>
  </w:endnote>
  <w:endnote w:type="continuationSeparator" w:id="0">
    <w:p w14:paraId="0FD8D212" w14:textId="77777777" w:rsidR="006055BD" w:rsidRDefault="006055BD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D5A7" w14:textId="77777777" w:rsidR="000053C5" w:rsidRPr="0060493A" w:rsidRDefault="000053C5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 Investigación</w:t>
    </w:r>
  </w:p>
  <w:p w14:paraId="585045B4" w14:textId="47149022" w:rsidR="000053C5" w:rsidRDefault="000053C5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331E62" w:rsidRPr="00331E62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5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fldSimple w:instr="NUMPAGES  \* Arabic  \* MERGEFORMAT">
      <w:r w:rsidR="00331E62" w:rsidRPr="00331E62">
        <w:rPr>
          <w:rFonts w:ascii="Arial" w:hAnsi="Arial" w:cs="Arial"/>
          <w:b/>
          <w:i/>
          <w:noProof/>
          <w:color w:val="000000" w:themeColor="text1"/>
          <w:sz w:val="16"/>
          <w:szCs w:val="16"/>
          <w:lang w:val="es-ES"/>
        </w:rPr>
        <w:t>5</w:t>
      </w:r>
    </w:fldSimple>
  </w:p>
  <w:p w14:paraId="1A8EE2A9" w14:textId="77777777" w:rsidR="000053C5" w:rsidRPr="0060493A" w:rsidRDefault="000053C5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DA54F" w14:textId="77777777" w:rsidR="006055BD" w:rsidRDefault="006055BD" w:rsidP="00CA4235">
      <w:pPr>
        <w:spacing w:after="0" w:line="240" w:lineRule="auto"/>
      </w:pPr>
      <w:r>
        <w:separator/>
      </w:r>
    </w:p>
  </w:footnote>
  <w:footnote w:type="continuationSeparator" w:id="0">
    <w:p w14:paraId="68D3C7DE" w14:textId="77777777" w:rsidR="006055BD" w:rsidRDefault="006055BD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7283" w14:textId="5EB1244D" w:rsidR="000053C5" w:rsidRDefault="000053C5" w:rsidP="00781A7C"/>
  <w:tbl>
    <w:tblPr>
      <w:tblStyle w:val="Tablaconcuadrcula"/>
      <w:tblW w:w="10263" w:type="dxa"/>
      <w:tblInd w:w="-71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077"/>
      <w:gridCol w:w="6186"/>
    </w:tblGrid>
    <w:tr w:rsidR="0021080A" w:rsidRPr="00070397" w14:paraId="213CCBF1" w14:textId="77777777" w:rsidTr="0021080A">
      <w:trPr>
        <w:trHeight w:val="1250"/>
      </w:trPr>
      <w:tc>
        <w:tcPr>
          <w:tcW w:w="4077" w:type="dxa"/>
          <w:vAlign w:val="center"/>
        </w:tcPr>
        <w:p w14:paraId="128DA842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070397">
            <w:rPr>
              <w:rFonts w:cstheme="minorHAnsi"/>
              <w:b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6A234B7" wp14:editId="3472179B">
                <wp:simplePos x="0" y="0"/>
                <wp:positionH relativeFrom="column">
                  <wp:posOffset>321310</wp:posOffset>
                </wp:positionH>
                <wp:positionV relativeFrom="paragraph">
                  <wp:posOffset>60960</wp:posOffset>
                </wp:positionV>
                <wp:extent cx="1343025" cy="748665"/>
                <wp:effectExtent l="0" t="0" r="9525" b="0"/>
                <wp:wrapNone/>
                <wp:docPr id="2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4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F7CA49F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  <w:p w14:paraId="4BC44DE3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  <w:p w14:paraId="44ECED68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  <w:p w14:paraId="505C96DB" w14:textId="77777777" w:rsidR="0021080A" w:rsidRPr="00070397" w:rsidRDefault="0021080A" w:rsidP="0021080A">
          <w:pPr>
            <w:pStyle w:val="Piedepgina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6186" w:type="dxa"/>
          <w:vAlign w:val="center"/>
        </w:tcPr>
        <w:p w14:paraId="0B1434DD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sz w:val="28"/>
              <w:szCs w:val="28"/>
            </w:rPr>
          </w:pPr>
          <w:r w:rsidRPr="00070397">
            <w:rPr>
              <w:rFonts w:cstheme="minorHAnsi"/>
              <w:b/>
              <w:sz w:val="28"/>
              <w:szCs w:val="28"/>
            </w:rPr>
            <w:t>Comité Nacional de Bioética de la Investigación</w:t>
          </w:r>
        </w:p>
      </w:tc>
    </w:tr>
    <w:tr w:rsidR="0021080A" w:rsidRPr="00070397" w14:paraId="2E52DC6E" w14:textId="77777777" w:rsidTr="0021080A">
      <w:trPr>
        <w:trHeight w:val="564"/>
      </w:trPr>
      <w:tc>
        <w:tcPr>
          <w:tcW w:w="4077" w:type="dxa"/>
          <w:shd w:val="clear" w:color="auto" w:fill="C2D69B" w:themeFill="accent3" w:themeFillTint="99"/>
          <w:vAlign w:val="center"/>
        </w:tcPr>
        <w:p w14:paraId="3468A53B" w14:textId="3E9DD6AB" w:rsidR="0021080A" w:rsidRPr="00070397" w:rsidRDefault="0021080A" w:rsidP="0021080A">
          <w:pPr>
            <w:pStyle w:val="Piedepgina"/>
            <w:rPr>
              <w:rFonts w:cstheme="minorHAnsi"/>
              <w:sz w:val="24"/>
              <w:szCs w:val="24"/>
            </w:rPr>
          </w:pPr>
          <w:r w:rsidRPr="00070397">
            <w:rPr>
              <w:rFonts w:cstheme="minorHAnsi"/>
              <w:b/>
              <w:sz w:val="24"/>
              <w:szCs w:val="24"/>
            </w:rPr>
            <w:t>Código:</w:t>
          </w:r>
          <w:r w:rsidRPr="00070397">
            <w:rPr>
              <w:rFonts w:cstheme="minorHAnsi"/>
              <w:sz w:val="24"/>
              <w:szCs w:val="24"/>
            </w:rPr>
            <w:t xml:space="preserve"> </w:t>
          </w:r>
          <w:r w:rsidRPr="00070397">
            <w:rPr>
              <w:rFonts w:cstheme="minorHAnsi"/>
              <w:b/>
              <w:sz w:val="24"/>
              <w:szCs w:val="24"/>
            </w:rPr>
            <w:t>P</w:t>
          </w:r>
          <w:r>
            <w:rPr>
              <w:rFonts w:cstheme="minorHAnsi"/>
              <w:b/>
              <w:sz w:val="24"/>
              <w:szCs w:val="24"/>
            </w:rPr>
            <w:t>O</w:t>
          </w:r>
          <w:r w:rsidRPr="00070397">
            <w:rPr>
              <w:rFonts w:cstheme="minorHAnsi"/>
              <w:b/>
              <w:sz w:val="24"/>
              <w:szCs w:val="24"/>
            </w:rPr>
            <w:t>-0</w:t>
          </w:r>
          <w:r>
            <w:rPr>
              <w:rFonts w:cstheme="minorHAnsi"/>
              <w:b/>
              <w:sz w:val="24"/>
              <w:szCs w:val="24"/>
            </w:rPr>
            <w:t>2</w:t>
          </w:r>
          <w:r w:rsidR="00487146">
            <w:rPr>
              <w:rFonts w:cstheme="minorHAnsi"/>
              <w:b/>
              <w:sz w:val="24"/>
              <w:szCs w:val="24"/>
            </w:rPr>
            <w:t>5</w:t>
          </w:r>
        </w:p>
      </w:tc>
      <w:tc>
        <w:tcPr>
          <w:tcW w:w="6186" w:type="dxa"/>
          <w:shd w:val="clear" w:color="auto" w:fill="auto"/>
          <w:vAlign w:val="center"/>
        </w:tcPr>
        <w:p w14:paraId="2D97A99E" w14:textId="2D7C555B" w:rsidR="0021080A" w:rsidRPr="00070397" w:rsidRDefault="0021080A" w:rsidP="0021080A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Título: Procedimiento Operativo para Revisión Expedita de Protocolos de investigación</w:t>
          </w:r>
        </w:p>
      </w:tc>
    </w:tr>
    <w:tr w:rsidR="0021080A" w:rsidRPr="00070397" w14:paraId="60BC6602" w14:textId="77777777" w:rsidTr="0021080A">
      <w:trPr>
        <w:trHeight w:val="88"/>
      </w:trPr>
      <w:tc>
        <w:tcPr>
          <w:tcW w:w="4077" w:type="dxa"/>
          <w:shd w:val="clear" w:color="auto" w:fill="C2D69B" w:themeFill="accent3" w:themeFillTint="99"/>
          <w:vAlign w:val="center"/>
        </w:tcPr>
        <w:p w14:paraId="3BDF2D1F" w14:textId="77777777" w:rsidR="0021080A" w:rsidRPr="00070397" w:rsidRDefault="0021080A" w:rsidP="0021080A">
          <w:pPr>
            <w:pStyle w:val="Piedepgina"/>
            <w:rPr>
              <w:rFonts w:cstheme="minorHAnsi"/>
              <w:b/>
              <w:sz w:val="24"/>
              <w:szCs w:val="24"/>
            </w:rPr>
          </w:pPr>
          <w:r w:rsidRPr="00070397">
            <w:rPr>
              <w:rFonts w:cstheme="minorHAnsi"/>
              <w:b/>
              <w:sz w:val="24"/>
              <w:szCs w:val="24"/>
            </w:rPr>
            <w:t xml:space="preserve">Versión: </w:t>
          </w:r>
          <w:r>
            <w:rPr>
              <w:rFonts w:cstheme="minorHAnsi"/>
              <w:b/>
              <w:sz w:val="24"/>
              <w:szCs w:val="24"/>
            </w:rPr>
            <w:t>1.0</w:t>
          </w:r>
        </w:p>
      </w:tc>
      <w:tc>
        <w:tcPr>
          <w:tcW w:w="6186" w:type="dxa"/>
          <w:shd w:val="clear" w:color="auto" w:fill="auto"/>
          <w:vAlign w:val="center"/>
        </w:tcPr>
        <w:p w14:paraId="7BD2CAD6" w14:textId="3E61ED69" w:rsidR="0021080A" w:rsidRPr="00070397" w:rsidRDefault="0021080A" w:rsidP="0021080A">
          <w:pPr>
            <w:pStyle w:val="Piedepgina"/>
            <w:rPr>
              <w:rFonts w:cstheme="minorHAnsi"/>
              <w:sz w:val="24"/>
              <w:szCs w:val="24"/>
            </w:rPr>
          </w:pPr>
          <w:r w:rsidRPr="00070397">
            <w:rPr>
              <w:rFonts w:cstheme="minorHAnsi"/>
              <w:sz w:val="24"/>
              <w:szCs w:val="24"/>
            </w:rPr>
            <w:t xml:space="preserve">Fecha: </w:t>
          </w:r>
          <w:proofErr w:type="gramStart"/>
          <w:r>
            <w:rPr>
              <w:rFonts w:cstheme="minorHAnsi"/>
              <w:sz w:val="24"/>
              <w:szCs w:val="24"/>
            </w:rPr>
            <w:t>Octubre</w:t>
          </w:r>
          <w:proofErr w:type="gramEnd"/>
          <w:r>
            <w:rPr>
              <w:rFonts w:cstheme="minorHAnsi"/>
              <w:sz w:val="24"/>
              <w:szCs w:val="24"/>
            </w:rPr>
            <w:t xml:space="preserve"> 2019</w:t>
          </w:r>
        </w:p>
      </w:tc>
    </w:tr>
  </w:tbl>
  <w:p w14:paraId="4CCA939C" w14:textId="77777777" w:rsidR="0021080A" w:rsidRDefault="0021080A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242"/>
    <w:multiLevelType w:val="multilevel"/>
    <w:tmpl w:val="2C4007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72943"/>
    <w:multiLevelType w:val="multilevel"/>
    <w:tmpl w:val="BE02DE5C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E33F76"/>
    <w:multiLevelType w:val="hybridMultilevel"/>
    <w:tmpl w:val="84124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1E40"/>
    <w:multiLevelType w:val="hybridMultilevel"/>
    <w:tmpl w:val="5EFE9A2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6B6E"/>
    <w:multiLevelType w:val="hybridMultilevel"/>
    <w:tmpl w:val="5DC6D1CC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74AD"/>
    <w:multiLevelType w:val="hybridMultilevel"/>
    <w:tmpl w:val="C916FF7E"/>
    <w:lvl w:ilvl="0" w:tplc="EFE02CD8">
      <w:start w:val="5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5929"/>
    <w:multiLevelType w:val="hybridMultilevel"/>
    <w:tmpl w:val="627A6CA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21E8"/>
    <w:multiLevelType w:val="hybridMultilevel"/>
    <w:tmpl w:val="EE6C578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41EE9"/>
    <w:multiLevelType w:val="multilevel"/>
    <w:tmpl w:val="79401E06"/>
    <w:lvl w:ilvl="0">
      <w:start w:val="4"/>
      <w:numFmt w:val="decimal"/>
      <w:lvlText w:val="%1."/>
      <w:lvlJc w:val="left"/>
      <w:pPr>
        <w:ind w:left="380" w:hanging="380"/>
      </w:pPr>
      <w:rPr>
        <w:rFonts w:cstheme="minorBid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theme="minorBid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0000F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FF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0000FF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0000FF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0000FF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0000FF"/>
        <w:sz w:val="24"/>
      </w:rPr>
    </w:lvl>
  </w:abstractNum>
  <w:abstractNum w:abstractNumId="10" w15:restartNumberingAfterBreak="0">
    <w:nsid w:val="33C4364A"/>
    <w:multiLevelType w:val="multilevel"/>
    <w:tmpl w:val="D764D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573201"/>
    <w:multiLevelType w:val="hybridMultilevel"/>
    <w:tmpl w:val="3B128D24"/>
    <w:lvl w:ilvl="0" w:tplc="C4E2B0C0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15D2A"/>
    <w:multiLevelType w:val="multilevel"/>
    <w:tmpl w:val="D92AC62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36657B1D"/>
    <w:multiLevelType w:val="hybridMultilevel"/>
    <w:tmpl w:val="D4FC4CFE"/>
    <w:lvl w:ilvl="0" w:tplc="C4E2B0C0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4B5D"/>
    <w:multiLevelType w:val="hybridMultilevel"/>
    <w:tmpl w:val="FDB245D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95AE6"/>
    <w:multiLevelType w:val="hybridMultilevel"/>
    <w:tmpl w:val="E1AE4B4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E2793"/>
    <w:multiLevelType w:val="hybridMultilevel"/>
    <w:tmpl w:val="85E2B4E0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6B35"/>
    <w:multiLevelType w:val="hybridMultilevel"/>
    <w:tmpl w:val="AE7A15A4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540A0019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5846AB"/>
    <w:multiLevelType w:val="multilevel"/>
    <w:tmpl w:val="68F60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E178CF"/>
    <w:multiLevelType w:val="multilevel"/>
    <w:tmpl w:val="F8C8A47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41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5C3949DA"/>
    <w:multiLevelType w:val="hybridMultilevel"/>
    <w:tmpl w:val="8D625EB0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540A0019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847C38"/>
    <w:multiLevelType w:val="multilevel"/>
    <w:tmpl w:val="826E42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DC62FD9"/>
    <w:multiLevelType w:val="hybridMultilevel"/>
    <w:tmpl w:val="CB32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678B"/>
    <w:multiLevelType w:val="hybridMultilevel"/>
    <w:tmpl w:val="0D4200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F6128"/>
    <w:multiLevelType w:val="hybridMultilevel"/>
    <w:tmpl w:val="F43A17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861A7"/>
    <w:multiLevelType w:val="multilevel"/>
    <w:tmpl w:val="0CCA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767181F"/>
    <w:multiLevelType w:val="hybridMultilevel"/>
    <w:tmpl w:val="1488EEBA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C53C1"/>
    <w:multiLevelType w:val="multilevel"/>
    <w:tmpl w:val="D742B9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EC2BDF"/>
    <w:multiLevelType w:val="multilevel"/>
    <w:tmpl w:val="D742B9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2C2762"/>
    <w:multiLevelType w:val="hybridMultilevel"/>
    <w:tmpl w:val="32461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644F0"/>
    <w:multiLevelType w:val="hybridMultilevel"/>
    <w:tmpl w:val="C8784E7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7AB7121C"/>
    <w:multiLevelType w:val="hybridMultilevel"/>
    <w:tmpl w:val="F898758A"/>
    <w:lvl w:ilvl="0" w:tplc="DEAAC59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57" w:hanging="360"/>
      </w:pPr>
    </w:lvl>
    <w:lvl w:ilvl="2" w:tplc="180A001B" w:tentative="1">
      <w:start w:val="1"/>
      <w:numFmt w:val="lowerRoman"/>
      <w:lvlText w:val="%3."/>
      <w:lvlJc w:val="right"/>
      <w:pPr>
        <w:ind w:left="1877" w:hanging="180"/>
      </w:pPr>
    </w:lvl>
    <w:lvl w:ilvl="3" w:tplc="180A000F" w:tentative="1">
      <w:start w:val="1"/>
      <w:numFmt w:val="decimal"/>
      <w:lvlText w:val="%4."/>
      <w:lvlJc w:val="left"/>
      <w:pPr>
        <w:ind w:left="2597" w:hanging="360"/>
      </w:pPr>
    </w:lvl>
    <w:lvl w:ilvl="4" w:tplc="180A0019" w:tentative="1">
      <w:start w:val="1"/>
      <w:numFmt w:val="lowerLetter"/>
      <w:lvlText w:val="%5."/>
      <w:lvlJc w:val="left"/>
      <w:pPr>
        <w:ind w:left="3317" w:hanging="360"/>
      </w:pPr>
    </w:lvl>
    <w:lvl w:ilvl="5" w:tplc="180A001B" w:tentative="1">
      <w:start w:val="1"/>
      <w:numFmt w:val="lowerRoman"/>
      <w:lvlText w:val="%6."/>
      <w:lvlJc w:val="right"/>
      <w:pPr>
        <w:ind w:left="4037" w:hanging="180"/>
      </w:pPr>
    </w:lvl>
    <w:lvl w:ilvl="6" w:tplc="180A000F" w:tentative="1">
      <w:start w:val="1"/>
      <w:numFmt w:val="decimal"/>
      <w:lvlText w:val="%7."/>
      <w:lvlJc w:val="left"/>
      <w:pPr>
        <w:ind w:left="4757" w:hanging="360"/>
      </w:pPr>
    </w:lvl>
    <w:lvl w:ilvl="7" w:tplc="180A0019" w:tentative="1">
      <w:start w:val="1"/>
      <w:numFmt w:val="lowerLetter"/>
      <w:lvlText w:val="%8."/>
      <w:lvlJc w:val="left"/>
      <w:pPr>
        <w:ind w:left="5477" w:hanging="360"/>
      </w:pPr>
    </w:lvl>
    <w:lvl w:ilvl="8" w:tplc="1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" w15:restartNumberingAfterBreak="0">
    <w:nsid w:val="7C6F078A"/>
    <w:multiLevelType w:val="hybridMultilevel"/>
    <w:tmpl w:val="70F4A548"/>
    <w:lvl w:ilvl="0" w:tplc="180A0017">
      <w:start w:val="1"/>
      <w:numFmt w:val="lowerLetter"/>
      <w:lvlText w:val="%1)"/>
      <w:lvlJc w:val="left"/>
      <w:pPr>
        <w:ind w:left="1068" w:hanging="360"/>
      </w:p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0715AD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33"/>
  </w:num>
  <w:num w:numId="5">
    <w:abstractNumId w:val="9"/>
  </w:num>
  <w:num w:numId="6">
    <w:abstractNumId w:val="22"/>
  </w:num>
  <w:num w:numId="7">
    <w:abstractNumId w:val="23"/>
  </w:num>
  <w:num w:numId="8">
    <w:abstractNumId w:val="2"/>
  </w:num>
  <w:num w:numId="9">
    <w:abstractNumId w:val="29"/>
  </w:num>
  <w:num w:numId="10">
    <w:abstractNumId w:val="16"/>
  </w:num>
  <w:num w:numId="11">
    <w:abstractNumId w:val="26"/>
  </w:num>
  <w:num w:numId="12">
    <w:abstractNumId w:val="8"/>
  </w:num>
  <w:num w:numId="13">
    <w:abstractNumId w:val="32"/>
  </w:num>
  <w:num w:numId="14">
    <w:abstractNumId w:val="17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4"/>
  </w:num>
  <w:num w:numId="20">
    <w:abstractNumId w:val="31"/>
  </w:num>
  <w:num w:numId="21">
    <w:abstractNumId w:val="3"/>
  </w:num>
  <w:num w:numId="22">
    <w:abstractNumId w:val="30"/>
  </w:num>
  <w:num w:numId="23">
    <w:abstractNumId w:val="15"/>
  </w:num>
  <w:num w:numId="24">
    <w:abstractNumId w:val="0"/>
  </w:num>
  <w:num w:numId="25">
    <w:abstractNumId w:val="6"/>
  </w:num>
  <w:num w:numId="26">
    <w:abstractNumId w:val="10"/>
  </w:num>
  <w:num w:numId="27">
    <w:abstractNumId w:val="4"/>
  </w:num>
  <w:num w:numId="28">
    <w:abstractNumId w:val="24"/>
  </w:num>
  <w:num w:numId="29">
    <w:abstractNumId w:val="21"/>
  </w:num>
  <w:num w:numId="30">
    <w:abstractNumId w:val="27"/>
  </w:num>
  <w:num w:numId="31">
    <w:abstractNumId w:val="28"/>
  </w:num>
  <w:num w:numId="32">
    <w:abstractNumId w:val="12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053C5"/>
    <w:rsid w:val="000578D4"/>
    <w:rsid w:val="0008289E"/>
    <w:rsid w:val="000D10DC"/>
    <w:rsid w:val="000D4C57"/>
    <w:rsid w:val="000E7608"/>
    <w:rsid w:val="00100BF5"/>
    <w:rsid w:val="00104798"/>
    <w:rsid w:val="001335DF"/>
    <w:rsid w:val="001546EB"/>
    <w:rsid w:val="001B286C"/>
    <w:rsid w:val="001B3D19"/>
    <w:rsid w:val="001B7362"/>
    <w:rsid w:val="001F65FC"/>
    <w:rsid w:val="0021080A"/>
    <w:rsid w:val="00262D3C"/>
    <w:rsid w:val="002A2AC2"/>
    <w:rsid w:val="002C345D"/>
    <w:rsid w:val="00331E62"/>
    <w:rsid w:val="00371690"/>
    <w:rsid w:val="003778AF"/>
    <w:rsid w:val="004448B4"/>
    <w:rsid w:val="00471446"/>
    <w:rsid w:val="00487146"/>
    <w:rsid w:val="00493526"/>
    <w:rsid w:val="004D2476"/>
    <w:rsid w:val="00543C94"/>
    <w:rsid w:val="00544CF5"/>
    <w:rsid w:val="00580452"/>
    <w:rsid w:val="005C38FC"/>
    <w:rsid w:val="005F2A9D"/>
    <w:rsid w:val="0060493A"/>
    <w:rsid w:val="006055BD"/>
    <w:rsid w:val="00611DB2"/>
    <w:rsid w:val="00624401"/>
    <w:rsid w:val="00672AB6"/>
    <w:rsid w:val="00684079"/>
    <w:rsid w:val="006C09D0"/>
    <w:rsid w:val="006D3D13"/>
    <w:rsid w:val="006E25FB"/>
    <w:rsid w:val="00736354"/>
    <w:rsid w:val="00770571"/>
    <w:rsid w:val="00781A7C"/>
    <w:rsid w:val="007B5EF4"/>
    <w:rsid w:val="007C6AA1"/>
    <w:rsid w:val="007F587D"/>
    <w:rsid w:val="007F6F91"/>
    <w:rsid w:val="00817D3B"/>
    <w:rsid w:val="008236A7"/>
    <w:rsid w:val="008341C7"/>
    <w:rsid w:val="008359AF"/>
    <w:rsid w:val="00843844"/>
    <w:rsid w:val="00893667"/>
    <w:rsid w:val="00893EED"/>
    <w:rsid w:val="008A2FDD"/>
    <w:rsid w:val="008E0BE5"/>
    <w:rsid w:val="00911E92"/>
    <w:rsid w:val="009632EE"/>
    <w:rsid w:val="00992B69"/>
    <w:rsid w:val="009A2F70"/>
    <w:rsid w:val="009A656F"/>
    <w:rsid w:val="00A15235"/>
    <w:rsid w:val="00A2528A"/>
    <w:rsid w:val="00A32302"/>
    <w:rsid w:val="00A471ED"/>
    <w:rsid w:val="00A50603"/>
    <w:rsid w:val="00A7104C"/>
    <w:rsid w:val="00A85348"/>
    <w:rsid w:val="00AB7131"/>
    <w:rsid w:val="00AD33B4"/>
    <w:rsid w:val="00B12CFB"/>
    <w:rsid w:val="00BB3581"/>
    <w:rsid w:val="00BE06A0"/>
    <w:rsid w:val="00C13500"/>
    <w:rsid w:val="00C759C3"/>
    <w:rsid w:val="00C95663"/>
    <w:rsid w:val="00CA004C"/>
    <w:rsid w:val="00CA4235"/>
    <w:rsid w:val="00CB374A"/>
    <w:rsid w:val="00D02EEB"/>
    <w:rsid w:val="00D058BF"/>
    <w:rsid w:val="00D263A3"/>
    <w:rsid w:val="00D30276"/>
    <w:rsid w:val="00D655E9"/>
    <w:rsid w:val="00D76F30"/>
    <w:rsid w:val="00D803ED"/>
    <w:rsid w:val="00DA1398"/>
    <w:rsid w:val="00DA67FE"/>
    <w:rsid w:val="00DA736A"/>
    <w:rsid w:val="00DF0CB3"/>
    <w:rsid w:val="00DF764A"/>
    <w:rsid w:val="00E027F1"/>
    <w:rsid w:val="00E12D33"/>
    <w:rsid w:val="00E14307"/>
    <w:rsid w:val="00E179DF"/>
    <w:rsid w:val="00E30D5F"/>
    <w:rsid w:val="00E37D4E"/>
    <w:rsid w:val="00E53B51"/>
    <w:rsid w:val="00EB7BC7"/>
    <w:rsid w:val="00ED5D1F"/>
    <w:rsid w:val="00EF1BF8"/>
    <w:rsid w:val="00EF2256"/>
    <w:rsid w:val="00F00185"/>
    <w:rsid w:val="00F135F1"/>
    <w:rsid w:val="00F214B0"/>
    <w:rsid w:val="00F21D06"/>
    <w:rsid w:val="00F364D9"/>
    <w:rsid w:val="00F46078"/>
    <w:rsid w:val="00F52203"/>
    <w:rsid w:val="00F743D7"/>
    <w:rsid w:val="00F878D5"/>
    <w:rsid w:val="00FA6BE4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B2A7ED6"/>
  <w15:docId w15:val="{AD9E4C7E-3ECF-412C-BC83-A0D93CE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71"/>
  </w:style>
  <w:style w:type="paragraph" w:styleId="Ttulo1">
    <w:name w:val="heading 1"/>
    <w:basedOn w:val="Normal"/>
    <w:next w:val="Normal"/>
    <w:link w:val="Ttulo1Car"/>
    <w:uiPriority w:val="9"/>
    <w:qFormat/>
    <w:rsid w:val="00C13500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3500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3500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3500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3500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3500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3500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3500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3500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135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35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3500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350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3500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3500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3500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350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35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ps">
    <w:name w:val="hps"/>
    <w:rsid w:val="00C1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7106-EF36-40FE-B4C0-28DA0889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1234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Magalys Quintana</dc:creator>
  <cp:keywords/>
  <dc:description/>
  <cp:lastModifiedBy>Magalys Quintana Tuñon</cp:lastModifiedBy>
  <cp:revision>13</cp:revision>
  <cp:lastPrinted>2017-12-20T13:28:00Z</cp:lastPrinted>
  <dcterms:created xsi:type="dcterms:W3CDTF">2019-09-21T07:47:00Z</dcterms:created>
  <dcterms:modified xsi:type="dcterms:W3CDTF">2019-11-12T20:19:00Z</dcterms:modified>
</cp:coreProperties>
</file>