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3F544DDE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595224A2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32B7B" w14:paraId="3B52941C" w14:textId="77777777" w:rsidTr="00215110">
        <w:tc>
          <w:tcPr>
            <w:tcW w:w="10349" w:type="dxa"/>
            <w:tcBorders>
              <w:bottom w:val="dotted" w:sz="4" w:space="0" w:color="auto"/>
            </w:tcBorders>
          </w:tcPr>
          <w:p w14:paraId="203C1085" w14:textId="55AB7567" w:rsidR="00471446" w:rsidRPr="00C32B7B" w:rsidRDefault="006D325A" w:rsidP="00BB28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Establecer el procedimiento a observar para la certificación inicial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para la revisión y aprobación de estudios </w:t>
            </w:r>
            <w:r w:rsidR="00EC65BB">
              <w:rPr>
                <w:rFonts w:cstheme="minorHAnsi"/>
                <w:sz w:val="24"/>
                <w:szCs w:val="24"/>
                <w:lang w:val="es-PA"/>
              </w:rPr>
              <w:t>de investigación para la salud y con participantes humanos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471446" w:rsidRPr="00C32B7B" w14:paraId="6F01362F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6A08CF2F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32B7B" w14:paraId="3D0D3194" w14:textId="77777777" w:rsidTr="00215110">
        <w:tc>
          <w:tcPr>
            <w:tcW w:w="10349" w:type="dxa"/>
          </w:tcPr>
          <w:p w14:paraId="1C88896F" w14:textId="0ED3F870" w:rsidR="00471446" w:rsidRPr="00C32B7B" w:rsidRDefault="006D325A" w:rsidP="00BF20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Todo Comité Ins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titucional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3A1593" w:rsidRPr="00C32B7B">
              <w:rPr>
                <w:rFonts w:cstheme="minorHAnsi"/>
                <w:sz w:val="24"/>
                <w:szCs w:val="24"/>
                <w:lang w:val="es-PA"/>
              </w:rPr>
              <w:t xml:space="preserve"> de la Investigación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EC65BB">
              <w:rPr>
                <w:rFonts w:cstheme="minorHAnsi"/>
                <w:sz w:val="24"/>
                <w:szCs w:val="24"/>
                <w:lang w:val="es-PA"/>
              </w:rPr>
              <w:t xml:space="preserve">en formación 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que </w:t>
            </w:r>
            <w:r w:rsidR="00EC65BB">
              <w:rPr>
                <w:rFonts w:cstheme="minorHAnsi"/>
                <w:sz w:val="24"/>
                <w:szCs w:val="24"/>
                <w:lang w:val="es-PA"/>
              </w:rPr>
              <w:t>solicite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ser certificado por el CNBI</w:t>
            </w:r>
            <w:r w:rsidR="00EC65B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</w:tbl>
    <w:p w14:paraId="3E33D4D4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6578AF97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C32B7B" w14:paraId="14EF6B3D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61F5273E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C32B7B" w14:paraId="4565FBD8" w14:textId="77777777" w:rsidTr="006D325A">
        <w:tc>
          <w:tcPr>
            <w:tcW w:w="2694" w:type="dxa"/>
            <w:vAlign w:val="center"/>
          </w:tcPr>
          <w:p w14:paraId="3FF1C459" w14:textId="77777777" w:rsidR="00471446" w:rsidRPr="00C32B7B" w:rsidRDefault="006D325A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Certificación</w:t>
            </w:r>
          </w:p>
        </w:tc>
        <w:tc>
          <w:tcPr>
            <w:tcW w:w="7655" w:type="dxa"/>
          </w:tcPr>
          <w:p w14:paraId="39066539" w14:textId="77777777" w:rsidR="00471446" w:rsidRPr="00C32B7B" w:rsidRDefault="00461CD5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</w:rPr>
              <w:t>Proceso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 mediante el cual un organismo da una 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 xml:space="preserve">garantía 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por escrito, de que </w:t>
            </w:r>
            <w:r>
              <w:rPr>
                <w:rFonts w:cstheme="minorHAnsi"/>
                <w:sz w:val="24"/>
                <w:szCs w:val="24"/>
              </w:rPr>
              <w:t>se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 </w:t>
            </w:r>
            <w:r w:rsidR="009B0050">
              <w:rPr>
                <w:rFonts w:cstheme="minorHAnsi"/>
                <w:sz w:val="24"/>
                <w:szCs w:val="24"/>
              </w:rPr>
              <w:t>cumple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 xml:space="preserve"> los requisitos </w:t>
            </w:r>
            <w:r>
              <w:rPr>
                <w:rFonts w:cstheme="minorHAnsi"/>
                <w:bCs/>
                <w:sz w:val="24"/>
                <w:szCs w:val="24"/>
              </w:rPr>
              <w:t>adecuados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>.</w:t>
            </w:r>
            <w:r w:rsidR="006D325A" w:rsidRPr="00C32B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CD5" w:rsidRPr="00C32B7B" w14:paraId="592591EF" w14:textId="77777777" w:rsidTr="006D325A">
        <w:tc>
          <w:tcPr>
            <w:tcW w:w="2694" w:type="dxa"/>
            <w:vAlign w:val="center"/>
          </w:tcPr>
          <w:p w14:paraId="747B79E3" w14:textId="77777777" w:rsidR="00461CD5" w:rsidRPr="00C32B7B" w:rsidRDefault="00461CD5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</w:p>
        </w:tc>
        <w:tc>
          <w:tcPr>
            <w:tcW w:w="7655" w:type="dxa"/>
          </w:tcPr>
          <w:p w14:paraId="3FFFF34C" w14:textId="77777777" w:rsidR="00461CD5" w:rsidRDefault="00461CD5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5C6A2C" w14:textId="77777777" w:rsidR="00471446" w:rsidRPr="00C32B7B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C32B7B" w14:paraId="43D40E58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2161E67D" w14:textId="77777777" w:rsidR="00471446" w:rsidRPr="00C32B7B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C32B7B" w14:paraId="5A708347" w14:textId="77777777" w:rsidTr="00215110">
        <w:tc>
          <w:tcPr>
            <w:tcW w:w="2694" w:type="dxa"/>
            <w:vAlign w:val="center"/>
          </w:tcPr>
          <w:p w14:paraId="39372401" w14:textId="77777777" w:rsidR="00471446" w:rsidRPr="00C32B7B" w:rsidRDefault="007C4E3C" w:rsidP="001773C1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Secretar</w:t>
            </w:r>
            <w:r w:rsidR="00C32B7B" w:rsidRPr="00C32B7B">
              <w:rPr>
                <w:rFonts w:cstheme="minorHAnsi"/>
                <w:i/>
                <w:sz w:val="24"/>
                <w:szCs w:val="24"/>
                <w:lang w:val="es-PA"/>
              </w:rPr>
              <w:t>í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a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Té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cni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ca</w:t>
            </w:r>
          </w:p>
        </w:tc>
        <w:tc>
          <w:tcPr>
            <w:tcW w:w="7655" w:type="dxa"/>
          </w:tcPr>
          <w:p w14:paraId="136D12A2" w14:textId="33EACEF1" w:rsidR="00471446" w:rsidRPr="00C32B7B" w:rsidRDefault="003463A5" w:rsidP="006349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Verificación Inicial de cumplimiento de requisitos en cantidad y forma de presentación de solicitudes de certificación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EC65B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</w:tc>
      </w:tr>
      <w:tr w:rsidR="003463A5" w:rsidRPr="00C32B7B" w14:paraId="54D10E67" w14:textId="77777777" w:rsidTr="00215110">
        <w:tc>
          <w:tcPr>
            <w:tcW w:w="2694" w:type="dxa"/>
            <w:vAlign w:val="center"/>
          </w:tcPr>
          <w:p w14:paraId="29691E00" w14:textId="77777777" w:rsidR="003463A5" w:rsidRPr="00C32B7B" w:rsidRDefault="003463A5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Presidente del CNBI</w:t>
            </w:r>
          </w:p>
        </w:tc>
        <w:tc>
          <w:tcPr>
            <w:tcW w:w="7655" w:type="dxa"/>
          </w:tcPr>
          <w:p w14:paraId="40B0AC5C" w14:textId="18BC50B1" w:rsidR="003463A5" w:rsidRPr="00C32B7B" w:rsidRDefault="003463A5" w:rsidP="00CC1B4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Revisar las solicitudes de certificación por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. Garantizar la revisión de la solicitud y documentación presentada por los miembros del CNBI. Aprobar la certificación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que cumplan con los requisitos para obtenerla.</w:t>
            </w:r>
          </w:p>
        </w:tc>
      </w:tr>
      <w:tr w:rsidR="00471446" w:rsidRPr="00C32B7B" w14:paraId="60D5B249" w14:textId="77777777" w:rsidTr="00215110">
        <w:tc>
          <w:tcPr>
            <w:tcW w:w="2694" w:type="dxa"/>
            <w:vAlign w:val="center"/>
          </w:tcPr>
          <w:p w14:paraId="73225C1B" w14:textId="77777777" w:rsidR="00471446" w:rsidRPr="00C32B7B" w:rsidRDefault="007C4E3C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Miembros del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CNB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I</w:t>
            </w:r>
          </w:p>
        </w:tc>
        <w:tc>
          <w:tcPr>
            <w:tcW w:w="7655" w:type="dxa"/>
          </w:tcPr>
          <w:p w14:paraId="08347E15" w14:textId="0B705B3D" w:rsidR="00471446" w:rsidRPr="00C32B7B" w:rsidRDefault="003463A5" w:rsidP="00BF20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Participar activamente en las reuniones y actividades de verificación de cumplimiento de </w:t>
            </w:r>
            <w:r w:rsidR="00BE7A3E" w:rsidRPr="00C32B7B">
              <w:rPr>
                <w:rFonts w:cstheme="minorHAnsi"/>
                <w:sz w:val="24"/>
                <w:szCs w:val="24"/>
                <w:lang w:val="es-PA"/>
              </w:rPr>
              <w:t xml:space="preserve">requisitos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de los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que solicitan certificación.</w:t>
            </w:r>
          </w:p>
        </w:tc>
      </w:tr>
    </w:tbl>
    <w:p w14:paraId="01257F61" w14:textId="77777777" w:rsidR="00471446" w:rsidRPr="00C32B7B" w:rsidRDefault="00471446" w:rsidP="00FA1B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5237A309" w14:textId="77777777" w:rsidTr="00B57405">
        <w:tc>
          <w:tcPr>
            <w:tcW w:w="10349" w:type="dxa"/>
            <w:shd w:val="clear" w:color="auto" w:fill="C2D69B" w:themeFill="accent3" w:themeFillTint="99"/>
          </w:tcPr>
          <w:p w14:paraId="16944C16" w14:textId="77777777" w:rsidR="00471446" w:rsidRPr="00C32B7B" w:rsidRDefault="00471446" w:rsidP="007C4E3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32B7B" w14:paraId="2B6F4270" w14:textId="77777777" w:rsidTr="00215110">
        <w:tc>
          <w:tcPr>
            <w:tcW w:w="10349" w:type="dxa"/>
          </w:tcPr>
          <w:p w14:paraId="7FEEF109" w14:textId="77777777" w:rsidR="00AE3178" w:rsidRPr="0034770F" w:rsidRDefault="00AE3178" w:rsidP="003477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4770F">
              <w:rPr>
                <w:rFonts w:cstheme="minorHAnsi"/>
                <w:sz w:val="24"/>
                <w:szCs w:val="24"/>
                <w:lang w:val="es-PA"/>
              </w:rPr>
              <w:t xml:space="preserve">Certificación Inicial de Comités de </w:t>
            </w:r>
            <w:r w:rsidR="00BF2066" w:rsidRPr="0034770F">
              <w:rPr>
                <w:rFonts w:cstheme="minorHAnsi"/>
                <w:sz w:val="24"/>
                <w:szCs w:val="24"/>
                <w:lang w:val="es-PA"/>
              </w:rPr>
              <w:t>Bioética</w:t>
            </w:r>
          </w:p>
          <w:p w14:paraId="0CA1D58B" w14:textId="6CEF4E50" w:rsidR="00652244" w:rsidRPr="00213FED" w:rsidRDefault="00AE3178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El Comité de </w:t>
            </w:r>
            <w:r w:rsidR="00BF2066" w:rsidRPr="00213FED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 presen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>ta solicitud de certificación m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>edian</w:t>
            </w:r>
            <w:r w:rsidR="006B4F8E">
              <w:rPr>
                <w:rFonts w:cstheme="minorHAnsi"/>
                <w:sz w:val="24"/>
                <w:szCs w:val="24"/>
                <w:lang w:val="es-PA"/>
              </w:rPr>
              <w:t>te nota dirigida al presidente del CNBI, adjuntando la plantilla de trabajo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 xml:space="preserve"> PT-012 Solicitud </w:t>
            </w:r>
            <w:r w:rsidR="00C53323">
              <w:rPr>
                <w:rFonts w:cstheme="minorHAnsi"/>
                <w:sz w:val="24"/>
                <w:szCs w:val="24"/>
                <w:lang w:val="es-PA"/>
              </w:rPr>
              <w:t xml:space="preserve">de 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>certificación inicia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 xml:space="preserve">l de Comités de </w:t>
            </w:r>
            <w:r w:rsidR="00BF2066" w:rsidRPr="00213FED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debidamente firmada y 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sellada </w:t>
            </w:r>
            <w:r w:rsidR="006B4F8E">
              <w:rPr>
                <w:rFonts w:cstheme="minorHAnsi"/>
                <w:sz w:val="24"/>
                <w:szCs w:val="24"/>
                <w:lang w:val="es-PA"/>
              </w:rPr>
              <w:t xml:space="preserve">y el listado de los miembros del Comité </w:t>
            </w:r>
            <w:r w:rsidR="006B4F8E" w:rsidRPr="006F3071">
              <w:rPr>
                <w:rFonts w:cstheme="minorHAnsi"/>
                <w:sz w:val="24"/>
                <w:szCs w:val="24"/>
                <w:lang w:val="es-PA"/>
              </w:rPr>
              <w:t>mediante la plantilla PT-</w:t>
            </w:r>
            <w:r w:rsidR="006F3071" w:rsidRPr="006F3071">
              <w:rPr>
                <w:rFonts w:cstheme="minorHAnsi"/>
                <w:sz w:val="24"/>
                <w:szCs w:val="24"/>
                <w:lang w:val="es-PA"/>
              </w:rPr>
              <w:t>042</w:t>
            </w:r>
            <w:r w:rsidR="00B914A7" w:rsidRPr="006F3071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3789DEEF" w14:textId="3D2927D1" w:rsidR="003800B6" w:rsidRPr="00213FED" w:rsidRDefault="00B30A7E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t>La Secretar</w:t>
            </w:r>
            <w:r w:rsidR="00C32B7B" w:rsidRPr="00213FED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>a T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>écnica realizará una revisión preliminar de la solicitud vs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>. los docum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>entos adjunt</w:t>
            </w:r>
            <w:r w:rsidR="00652244" w:rsidRPr="00213FED">
              <w:rPr>
                <w:rFonts w:cstheme="minorHAnsi"/>
                <w:sz w:val="24"/>
                <w:szCs w:val="24"/>
                <w:lang w:val="es-PA"/>
              </w:rPr>
              <w:t>os para garantizar que la mism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a está completa. </w:t>
            </w:r>
            <w:r w:rsidR="00C53323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7B83F174" w14:textId="508AA595" w:rsidR="00A76EE3" w:rsidRDefault="00B30A7E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lastRenderedPageBreak/>
              <w:t>El P</w:t>
            </w:r>
            <w:r w:rsidR="00BF0AE9" w:rsidRPr="00213FED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sidente del comité revisará la solicitud y documentación adjunta y agendará la </w:t>
            </w:r>
            <w:r w:rsidR="00BF0AE9" w:rsidRPr="00213FED">
              <w:rPr>
                <w:rFonts w:cstheme="minorHAnsi"/>
                <w:sz w:val="24"/>
                <w:szCs w:val="24"/>
                <w:lang w:val="es-PA"/>
              </w:rPr>
              <w:t>revisión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 por el C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omité en la próxima </w:t>
            </w:r>
            <w:r w:rsidR="009F79A6">
              <w:rPr>
                <w:rFonts w:cstheme="minorHAnsi"/>
                <w:sz w:val="24"/>
                <w:szCs w:val="24"/>
                <w:lang w:val="es-PA"/>
              </w:rPr>
              <w:t>reunión ordinaria luego de</w:t>
            </w:r>
            <w:r w:rsidR="003800B6" w:rsidRPr="00213FED">
              <w:rPr>
                <w:rFonts w:cstheme="minorHAnsi"/>
                <w:sz w:val="24"/>
                <w:szCs w:val="24"/>
                <w:lang w:val="es-PA"/>
              </w:rPr>
              <w:t xml:space="preserve"> la recepción de la solicitud</w:t>
            </w:r>
            <w:r w:rsidR="00300848" w:rsidRPr="00213FED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En esta reunión se designarán tres miembros que realizarán </w:t>
            </w:r>
            <w:r w:rsidR="00301CA5">
              <w:rPr>
                <w:rFonts w:cstheme="minorHAnsi"/>
                <w:sz w:val="24"/>
                <w:szCs w:val="24"/>
                <w:lang w:val="es-PA"/>
              </w:rPr>
              <w:t>la visita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de certificación inicial.</w:t>
            </w:r>
          </w:p>
          <w:p w14:paraId="2952568C" w14:textId="557CD34E" w:rsidR="00A76EE3" w:rsidRPr="00301CA5" w:rsidRDefault="00A76EE3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El Comité de Bioética</w:t>
            </w:r>
            <w:r w:rsidR="007E4FD1" w:rsidRPr="00301CA5">
              <w:rPr>
                <w:rFonts w:cstheme="minorHAnsi"/>
                <w:sz w:val="24"/>
                <w:szCs w:val="24"/>
                <w:lang w:val="es-PA"/>
              </w:rPr>
              <w:t xml:space="preserve"> en formación</w:t>
            </w: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 que solicite la certificación inicial debe cumplir con los siguientes requisitos: </w:t>
            </w:r>
          </w:p>
          <w:p w14:paraId="075681CC" w14:textId="77777777" w:rsidR="00A76EE3" w:rsidRPr="00301CA5" w:rsidRDefault="00A94EB6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A76EE3" w:rsidRPr="00301CA5">
              <w:rPr>
                <w:rFonts w:cstheme="minorHAnsi"/>
                <w:b/>
                <w:bCs/>
                <w:sz w:val="24"/>
                <w:szCs w:val="24"/>
                <w:lang w:val="es-PA"/>
              </w:rPr>
              <w:t>Documentación General</w:t>
            </w:r>
          </w:p>
          <w:p w14:paraId="1CBE13AD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Estatuto o declaración del CBI de las autoridades nacionales, institucionales que legitiman su trabajo.</w:t>
            </w:r>
          </w:p>
          <w:p w14:paraId="43059FE6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Declaración de adherencia a lineamientos y documentos internacionales que se adoptan como referencia para su trabajo (ICH-GCPs, Declaración de Helsinki, Pautas CIOMS/OMS, etc)</w:t>
            </w:r>
          </w:p>
          <w:p w14:paraId="49D42268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Copia del Reglamento del CBI.</w:t>
            </w:r>
          </w:p>
          <w:p w14:paraId="6A38C02D" w14:textId="091B751B" w:rsidR="00A76EE3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Constancia de autorización de la Dirección</w:t>
            </w:r>
            <w:r w:rsidR="00F3457C" w:rsidRPr="00301CA5">
              <w:rPr>
                <w:rFonts w:cstheme="minorHAnsi"/>
                <w:sz w:val="24"/>
                <w:szCs w:val="24"/>
                <w:lang w:val="es-PA"/>
              </w:rPr>
              <w:t xml:space="preserve"> de la institución a la que está adscrita el Comité.</w:t>
            </w:r>
          </w:p>
          <w:p w14:paraId="7D683052" w14:textId="77777777" w:rsidR="00301CA5" w:rsidRPr="00301CA5" w:rsidRDefault="00301CA5" w:rsidP="00301CA5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1E317ABB" w14:textId="77777777" w:rsidR="00A76EE3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b/>
                <w:bCs/>
                <w:sz w:val="24"/>
                <w:szCs w:val="24"/>
                <w:lang w:val="es-PA"/>
              </w:rPr>
              <w:t>Procedimientos Operativos y formatos correspondientes a:</w:t>
            </w:r>
          </w:p>
          <w:p w14:paraId="6B3E1F7D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Presentación de protocolos y demás solicitudes (enmiendas, consentimiento informado, eventos adversos, etc)</w:t>
            </w:r>
          </w:p>
          <w:p w14:paraId="494AEA28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Tiempos para reunión, evaluación y respuesta</w:t>
            </w:r>
          </w:p>
          <w:p w14:paraId="5A05E229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Información de contacto</w:t>
            </w:r>
          </w:p>
          <w:p w14:paraId="2EC232BC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Tipos de respuestas y recursos frente a las mismas</w:t>
            </w:r>
          </w:p>
          <w:p w14:paraId="6B212917" w14:textId="2BE89F10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Documentación requerida para presentación de estudios </w:t>
            </w:r>
          </w:p>
          <w:p w14:paraId="72324C8A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Documentación requerida del equipo de investigación</w:t>
            </w:r>
          </w:p>
          <w:p w14:paraId="0EAF4DA3" w14:textId="620CBEBC" w:rsidR="00A76EE3" w:rsidRPr="00301CA5" w:rsidRDefault="00F3457C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Plantilla</w:t>
            </w:r>
            <w:r w:rsidR="00A76EE3" w:rsidRPr="00301CA5">
              <w:rPr>
                <w:rFonts w:cstheme="minorHAnsi"/>
                <w:sz w:val="24"/>
                <w:szCs w:val="24"/>
                <w:lang w:val="es-PA"/>
              </w:rPr>
              <w:t xml:space="preserve"> de presentación de paquetes de solicitud de aprobación de estudios </w:t>
            </w:r>
          </w:p>
          <w:p w14:paraId="7642114C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Notificación de eventos adversos serios locales</w:t>
            </w:r>
          </w:p>
          <w:p w14:paraId="5F9E7B75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Manejo de reportes de seguridad, eventos adversos serios extranjeros</w:t>
            </w:r>
          </w:p>
          <w:p w14:paraId="5DF3123E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Costos y procedimientos para revisión y evaluación (si aplica)</w:t>
            </w:r>
          </w:p>
          <w:p w14:paraId="510FAD17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Evaluación de protocolos</w:t>
            </w:r>
          </w:p>
          <w:p w14:paraId="617019A7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Desarrollo de las reuniones del Comité</w:t>
            </w:r>
          </w:p>
          <w:p w14:paraId="249514C1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Reportes de seguimientos de los protocolos por parte del investigador</w:t>
            </w:r>
          </w:p>
          <w:p w14:paraId="0649F7F9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Reportes de seguimiento de los protocolos del CBI al CNBI</w:t>
            </w:r>
          </w:p>
          <w:p w14:paraId="5EBAC659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Manejo de archivos y registros, tiempo de conservación de documentos </w:t>
            </w:r>
          </w:p>
          <w:p w14:paraId="3E583BB1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Calificación de Investigadores</w:t>
            </w:r>
          </w:p>
          <w:p w14:paraId="59F6DCB3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Visitas a sitios</w:t>
            </w:r>
          </w:p>
          <w:p w14:paraId="6E7DB257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Revisión de desviaciones y violaciones de protocolos</w:t>
            </w:r>
          </w:p>
          <w:p w14:paraId="672FA259" w14:textId="799B4CC1" w:rsidR="00A76EE3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Medidas de Control</w:t>
            </w:r>
          </w:p>
          <w:p w14:paraId="55DC8D09" w14:textId="77777777" w:rsidR="00301CA5" w:rsidRPr="00301CA5" w:rsidRDefault="00301CA5" w:rsidP="00301CA5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29741C28" w14:textId="77777777" w:rsidR="00A76EE3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b/>
                <w:bCs/>
                <w:sz w:val="24"/>
                <w:szCs w:val="24"/>
                <w:lang w:val="es-PA"/>
              </w:rPr>
              <w:t>Recursos Logísticos</w:t>
            </w:r>
          </w:p>
          <w:p w14:paraId="6668EC9E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Sede del Comité con una dirección física fija para la recepción de la correspondencia.</w:t>
            </w:r>
          </w:p>
          <w:p w14:paraId="624A4B2E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Link del Comité en la página institucional o página propia.</w:t>
            </w:r>
          </w:p>
          <w:p w14:paraId="5732FF1F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Lugar fijo para reuniones</w:t>
            </w:r>
          </w:p>
          <w:p w14:paraId="5A72392D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Sitio seguro y muebles adecuados para el archivo</w:t>
            </w:r>
          </w:p>
          <w:p w14:paraId="6B086948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Disponibilidad de una persona dedicada al apoyo administrativo y a ofrecer la información necesaria </w:t>
            </w:r>
          </w:p>
          <w:p w14:paraId="3CBBEB9D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Tenencia de un mobiliario básico de oficina: escritorio, sillas, computador exclusivo para el trabajo del Comité, impresora, papelería membretada</w:t>
            </w:r>
          </w:p>
          <w:p w14:paraId="104AB4A3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Disponibilidad de una dirección institucional de correo electrónico</w:t>
            </w:r>
          </w:p>
          <w:p w14:paraId="1D009973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Disponibilidad física y en formato virtual de los documentos normativos precisados en la declaración de adherencia</w:t>
            </w:r>
          </w:p>
          <w:p w14:paraId="3B0B8826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Disponibilidad física y en formato virtual de los procedimientos y de los formatos aprobados por el Comité, para ser entregados a los interesados. </w:t>
            </w:r>
          </w:p>
          <w:p w14:paraId="4472FC8F" w14:textId="0439689D" w:rsidR="00A76EE3" w:rsidRPr="00301CA5" w:rsidRDefault="003D630E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Contemplar la d</w:t>
            </w:r>
            <w:r w:rsidR="00A76EE3" w:rsidRPr="00301CA5">
              <w:rPr>
                <w:rFonts w:cstheme="minorHAnsi"/>
                <w:sz w:val="24"/>
                <w:szCs w:val="24"/>
                <w:lang w:val="es-PA"/>
              </w:rPr>
              <w:t>isponibilidad de alojamiento para la implementación de la Plataforma ProEthos</w:t>
            </w:r>
            <w:r w:rsidR="00F3457C" w:rsidRPr="00301CA5">
              <w:rPr>
                <w:rFonts w:cstheme="minorHAnsi"/>
                <w:sz w:val="24"/>
                <w:szCs w:val="24"/>
                <w:lang w:val="es-PA"/>
              </w:rPr>
              <w:t xml:space="preserve"> o plataforma de revisión </w:t>
            </w:r>
            <w:r w:rsidRPr="00301CA5">
              <w:rPr>
                <w:rFonts w:cstheme="minorHAnsi"/>
                <w:sz w:val="24"/>
                <w:szCs w:val="24"/>
                <w:lang w:val="es-PA"/>
              </w:rPr>
              <w:t>aprobada por el CNBI</w:t>
            </w:r>
            <w:r w:rsidR="00A76EE3" w:rsidRPr="00301CA5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</w:p>
          <w:p w14:paraId="0A4FE33A" w14:textId="2112BDBD" w:rsidR="00A76EE3" w:rsidRDefault="003D630E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Contemplar la disponibilidad de un </w:t>
            </w:r>
            <w:r w:rsidR="00A76EE3" w:rsidRPr="00301CA5">
              <w:rPr>
                <w:rFonts w:cstheme="minorHAnsi"/>
                <w:sz w:val="24"/>
                <w:szCs w:val="24"/>
                <w:lang w:val="es-PA"/>
              </w:rPr>
              <w:t xml:space="preserve">Servidor físico o virtual con una capacidad </w:t>
            </w:r>
            <w:r w:rsidR="00933339" w:rsidRPr="00301CA5">
              <w:rPr>
                <w:rFonts w:cstheme="minorHAnsi"/>
                <w:sz w:val="24"/>
                <w:szCs w:val="24"/>
                <w:lang w:val="es-PA"/>
              </w:rPr>
              <w:t xml:space="preserve">mínima </w:t>
            </w:r>
            <w:r w:rsidR="00A76EE3" w:rsidRPr="00301CA5">
              <w:rPr>
                <w:rFonts w:cstheme="minorHAnsi"/>
                <w:sz w:val="24"/>
                <w:szCs w:val="24"/>
                <w:lang w:val="es-PA"/>
              </w:rPr>
              <w:t xml:space="preserve">de: 1 procesador, 200 Gigas de Disco Duro y 2 Gigas de RAM destinados para la plataforma. </w:t>
            </w:r>
          </w:p>
          <w:p w14:paraId="6705D08D" w14:textId="77777777" w:rsidR="00301CA5" w:rsidRPr="00301CA5" w:rsidRDefault="00301CA5" w:rsidP="00301CA5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64616197" w14:textId="5B4DD368" w:rsidR="00301CA5" w:rsidRPr="00301CA5" w:rsidRDefault="00A76EE3" w:rsidP="00301CA5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b/>
                <w:bCs/>
                <w:sz w:val="24"/>
                <w:szCs w:val="24"/>
                <w:lang w:val="es-PA"/>
              </w:rPr>
              <w:t>Miembros del Comité</w:t>
            </w:r>
          </w:p>
          <w:p w14:paraId="103D2DF5" w14:textId="4D6515B0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Documento con la composición del Comité, el perfil de sus miembros, su función dentro del mismo y rotación de cargos</w:t>
            </w:r>
            <w:r w:rsidR="007E4FD1" w:rsidRPr="00301CA5">
              <w:rPr>
                <w:rFonts w:cstheme="minorHAnsi"/>
                <w:sz w:val="24"/>
                <w:szCs w:val="24"/>
                <w:lang w:val="es-PA"/>
              </w:rPr>
              <w:t>. Mínimo 7 miembros sin contar la secretaria técnica. Contemplar balance de género entre los miembros.</w:t>
            </w:r>
          </w:p>
          <w:p w14:paraId="1618B851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Carpeta con las hojas de vida de los miembros actualizadas (incluyendo a los suplentes)</w:t>
            </w:r>
          </w:p>
          <w:p w14:paraId="4D63CAA0" w14:textId="516A9618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Porcentaje de miembros externos de un 2</w:t>
            </w:r>
            <w:r w:rsidR="00A67D93" w:rsidRPr="00301CA5">
              <w:rPr>
                <w:rFonts w:cstheme="minorHAnsi"/>
                <w:sz w:val="24"/>
                <w:szCs w:val="24"/>
                <w:lang w:val="es-PA"/>
              </w:rPr>
              <w:t>0</w:t>
            </w:r>
            <w:r w:rsidRPr="00301CA5">
              <w:rPr>
                <w:rFonts w:cstheme="minorHAnsi"/>
                <w:sz w:val="24"/>
                <w:szCs w:val="24"/>
                <w:lang w:val="es-PA"/>
              </w:rPr>
              <w:t>%</w:t>
            </w:r>
            <w:r w:rsidR="007E4FD1" w:rsidRPr="00301CA5">
              <w:rPr>
                <w:rFonts w:cstheme="minorHAnsi"/>
                <w:sz w:val="24"/>
                <w:szCs w:val="24"/>
                <w:lang w:val="es-PA"/>
              </w:rPr>
              <w:t xml:space="preserve">. En caso que el CBI tenga 9 o menos miembros, deben ser 2 miembros externos.  </w:t>
            </w:r>
          </w:p>
          <w:p w14:paraId="086135BE" w14:textId="77777777" w:rsidR="00A76EE3" w:rsidRPr="00301CA5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Reglamento del Comité incluyendo el procedimiento de designación y el tiempo de permanencia</w:t>
            </w:r>
          </w:p>
          <w:p w14:paraId="145776CB" w14:textId="53B42BD3" w:rsidR="00A76EE3" w:rsidRDefault="00A76EE3" w:rsidP="00301CA5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Formato de declaración de conflicto de intereses con respecto a determinados casos</w:t>
            </w:r>
          </w:p>
          <w:p w14:paraId="42021ED6" w14:textId="77777777" w:rsidR="00301CA5" w:rsidRPr="00301CA5" w:rsidRDefault="00301CA5" w:rsidP="00301CA5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7A750922" w14:textId="77777777" w:rsidR="00A76EE3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b/>
                <w:bCs/>
                <w:sz w:val="24"/>
                <w:szCs w:val="24"/>
                <w:lang w:val="es-PA"/>
              </w:rPr>
              <w:t xml:space="preserve">Capacitación </w:t>
            </w:r>
          </w:p>
          <w:p w14:paraId="76EC50D0" w14:textId="77777777" w:rsidR="00A76EE3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Certificados de capacitación básica de los miembros en BPCs </w:t>
            </w:r>
          </w:p>
          <w:p w14:paraId="62E53851" w14:textId="77777777" w:rsidR="00A76EE3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>Programa de capacitación permanente de los miembros del Comité</w:t>
            </w:r>
          </w:p>
          <w:p w14:paraId="3F3A3B75" w14:textId="0EAE65E7" w:rsidR="003800B6" w:rsidRPr="00301CA5" w:rsidRDefault="00A76EE3" w:rsidP="00A67D9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lastRenderedPageBreak/>
              <w:t>Programa de actividades específicas de capacitación</w:t>
            </w:r>
          </w:p>
          <w:p w14:paraId="40F0A05D" w14:textId="57C037E0" w:rsidR="002E66C0" w:rsidRPr="002E66C0" w:rsidRDefault="002E66C0" w:rsidP="002E66C0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Las visitas de certificación de CBIs se podrán dar de la siguiente forma: Presencial y mixta.</w:t>
            </w:r>
          </w:p>
          <w:p w14:paraId="6590F307" w14:textId="41FEF1AD" w:rsidR="00B13905" w:rsidRPr="00B13905" w:rsidRDefault="00F61ADA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t>En el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proceso de certificación inicial </w:t>
            </w:r>
            <w:r w:rsidR="006D4BD6">
              <w:rPr>
                <w:rFonts w:cstheme="minorHAnsi"/>
                <w:sz w:val="24"/>
                <w:szCs w:val="24"/>
                <w:lang w:val="es-PA"/>
              </w:rPr>
              <w:t xml:space="preserve">de modalidad presencial 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>de los CBIs</w:t>
            </w:r>
            <w:r w:rsidR="006D4BD6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los miembros designados por el C</w:t>
            </w:r>
            <w:r w:rsidR="002E66C0">
              <w:rPr>
                <w:rFonts w:cstheme="minorHAnsi"/>
                <w:sz w:val="24"/>
                <w:szCs w:val="24"/>
                <w:lang w:val="es-PA"/>
              </w:rPr>
              <w:t>NBI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se desplazarán a la sede del C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>BI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a fin 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>de constatar que se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cumpl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>e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n con los requisitos de la certificación inicial </w:t>
            </w:r>
            <w:r w:rsidR="002E66C0">
              <w:rPr>
                <w:rFonts w:cstheme="minorHAnsi"/>
                <w:sz w:val="24"/>
                <w:szCs w:val="24"/>
                <w:lang w:val="es-PA"/>
              </w:rPr>
              <w:t>establecidos en el punto 4.</w:t>
            </w:r>
          </w:p>
          <w:p w14:paraId="5BB44280" w14:textId="109FA549" w:rsidR="0034770F" w:rsidRDefault="00086803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En la visita de certificación inicial, deben estar presentes el presidente, secretario técnico y dos miembros activos</w:t>
            </w:r>
            <w:r w:rsidR="00301CA5">
              <w:rPr>
                <w:rFonts w:cstheme="minorHAnsi"/>
                <w:sz w:val="24"/>
                <w:szCs w:val="24"/>
                <w:lang w:val="es-PA"/>
              </w:rPr>
              <w:t xml:space="preserve"> del CBI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. Cuando la visita sea </w:t>
            </w:r>
            <w:r w:rsidR="002E66C0">
              <w:rPr>
                <w:rFonts w:cstheme="minorHAnsi"/>
                <w:sz w:val="24"/>
                <w:szCs w:val="24"/>
                <w:lang w:val="es-PA"/>
              </w:rPr>
              <w:t>mixta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, en la </w:t>
            </w:r>
            <w:r w:rsidRPr="00086803">
              <w:rPr>
                <w:rFonts w:cstheme="minorHAnsi"/>
                <w:b/>
                <w:sz w:val="24"/>
                <w:szCs w:val="24"/>
                <w:lang w:val="es-PA"/>
              </w:rPr>
              <w:t>certificación inicial</w:t>
            </w:r>
            <w:r>
              <w:rPr>
                <w:rFonts w:cstheme="minorHAnsi"/>
                <w:sz w:val="24"/>
                <w:szCs w:val="24"/>
                <w:lang w:val="es-PA"/>
              </w:rPr>
              <w:t>, deben estar presentes por lo menos el presidente y secretario técnico y deben conectarse dos miembros activos.</w:t>
            </w:r>
          </w:p>
          <w:p w14:paraId="5794A8C6" w14:textId="1E9C66EA" w:rsidR="006D4BD6" w:rsidRPr="006D4BD6" w:rsidRDefault="006D4BD6" w:rsidP="006D4BD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A34C08">
              <w:rPr>
                <w:rFonts w:cstheme="minorHAnsi"/>
                <w:sz w:val="24"/>
                <w:szCs w:val="24"/>
                <w:lang w:val="es-PA"/>
              </w:rPr>
              <w:t xml:space="preserve">El proceso de certificación inicial requerirá la presencia, en la sede del CBI, de por lo menos un miembro del CNBI y se conectarán de forma remota los miembros que no se desplacen. </w:t>
            </w:r>
          </w:p>
          <w:p w14:paraId="012FAF5A" w14:textId="6281C3F8" w:rsidR="00A94EB6" w:rsidRPr="00C32B7B" w:rsidRDefault="0034770F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Durante la visita, el CBI debe coordinar una reunión entre los evaluadores del CNBI y las autoridades de la institución que solicita la certificación, para reforzar el apoyo logístico y la independencia del CBI (Esta reunión debe darse de manera separada al proceso de evaluación).</w:t>
            </w:r>
          </w:p>
          <w:p w14:paraId="3807E008" w14:textId="30253FF5" w:rsidR="003800B6" w:rsidRPr="00C32B7B" w:rsidRDefault="003800B6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En la reunión de revisión se evaluará el cumplimi</w:t>
            </w:r>
            <w:r w:rsidR="00BF0AE9" w:rsidRPr="00C32B7B">
              <w:rPr>
                <w:rFonts w:cstheme="minorHAnsi"/>
                <w:sz w:val="24"/>
                <w:szCs w:val="24"/>
                <w:lang w:val="es-PA"/>
              </w:rPr>
              <w:t>ento de requisitos por parte de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l </w:t>
            </w:r>
            <w:r w:rsidR="00BF0AE9" w:rsidRPr="00C32B7B">
              <w:rPr>
                <w:rFonts w:cstheme="minorHAnsi"/>
                <w:sz w:val="24"/>
                <w:szCs w:val="24"/>
                <w:lang w:val="es-PA"/>
              </w:rPr>
              <w:t>Comité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para cumplir con las responsabilidades descritas</w:t>
            </w:r>
            <w:r w:rsidR="00301CA5">
              <w:rPr>
                <w:rFonts w:cstheme="minorHAnsi"/>
                <w:sz w:val="24"/>
                <w:szCs w:val="24"/>
                <w:lang w:val="es-PA"/>
              </w:rPr>
              <w:t xml:space="preserve"> en este procedimiento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, </w:t>
            </w:r>
            <w:r w:rsidR="00BF0AE9" w:rsidRPr="00C32B7B">
              <w:rPr>
                <w:rFonts w:cstheme="minorHAnsi"/>
                <w:sz w:val="24"/>
                <w:szCs w:val="24"/>
                <w:lang w:val="es-PA"/>
              </w:rPr>
              <w:t xml:space="preserve">así como </w:t>
            </w:r>
            <w:r w:rsidR="00301CA5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r w:rsidR="00BF0AE9" w:rsidRPr="00C32B7B">
              <w:rPr>
                <w:rFonts w:cstheme="minorHAnsi"/>
                <w:sz w:val="24"/>
                <w:szCs w:val="24"/>
                <w:lang w:val="es-PA"/>
              </w:rPr>
              <w:t>requisitos pre establecidos por el CNB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I para certificación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B30A7E" w:rsidRPr="00C32B7B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300848" w:rsidRPr="00C32B7B">
              <w:rPr>
                <w:rFonts w:cstheme="minorHAnsi"/>
                <w:sz w:val="24"/>
                <w:szCs w:val="24"/>
                <w:lang w:val="es-PA"/>
              </w:rPr>
              <w:t xml:space="preserve"> Docum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entarán la verificación de cum</w:t>
            </w:r>
            <w:r w:rsidR="00D24830" w:rsidRPr="00C32B7B">
              <w:rPr>
                <w:rFonts w:cstheme="minorHAnsi"/>
                <w:sz w:val="24"/>
                <w:szCs w:val="24"/>
                <w:lang w:val="es-PA"/>
              </w:rPr>
              <w:t>plimiento, haciendo uso de PT-015</w:t>
            </w:r>
            <w:r w:rsidR="00F06496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="00300848"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F06496">
              <w:rPr>
                <w:rFonts w:cstheme="minorHAnsi"/>
                <w:sz w:val="24"/>
                <w:szCs w:val="24"/>
                <w:lang w:val="es-PA"/>
              </w:rPr>
              <w:t xml:space="preserve">Informe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para certificación inicial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300848" w:rsidRPr="00C32B7B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</w:p>
          <w:p w14:paraId="0498C6DB" w14:textId="693D372A" w:rsidR="006F45C9" w:rsidRDefault="003800B6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Luego de la recepción de</w:t>
            </w:r>
            <w:r w:rsidR="0066551F">
              <w:rPr>
                <w:rFonts w:cstheme="minorHAnsi"/>
                <w:sz w:val="24"/>
                <w:szCs w:val="24"/>
                <w:lang w:val="es-PA"/>
              </w:rPr>
              <w:t xml:space="preserve">l informe de la visita de certificación inicial por parte de los evaluadores del CNBI, </w:t>
            </w:r>
            <w:r w:rsidR="006F45C9">
              <w:rPr>
                <w:rFonts w:cstheme="minorHAnsi"/>
                <w:sz w:val="24"/>
                <w:szCs w:val="24"/>
                <w:lang w:val="es-PA"/>
              </w:rPr>
              <w:t>las mismas serán revisadas en la siguiente reunión ordinaria del CNBI.</w:t>
            </w:r>
          </w:p>
          <w:p w14:paraId="6C7A37B2" w14:textId="78CFCCEF" w:rsidR="006F45C9" w:rsidRDefault="006F45C9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F06496">
              <w:rPr>
                <w:rFonts w:cstheme="minorHAnsi"/>
                <w:sz w:val="24"/>
                <w:szCs w:val="24"/>
                <w:lang w:val="es-PA"/>
              </w:rPr>
              <w:t xml:space="preserve">Si el CBI cumple con los requisitos para certificación, </w:t>
            </w:r>
            <w:r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F06496">
              <w:rPr>
                <w:rFonts w:cstheme="minorHAnsi"/>
                <w:sz w:val="24"/>
                <w:szCs w:val="24"/>
                <w:lang w:val="es-PA"/>
              </w:rPr>
              <w:t>e emitirá la certificación en PT-014 Certificación de Comité de Bioética. La vigencia de la certificación será máximo de seis meses</w:t>
            </w:r>
            <w:r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3A2D2F93" w14:textId="66F72805" w:rsidR="008F4AD8" w:rsidRPr="008F4AD8" w:rsidRDefault="006F45C9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F802C3">
              <w:rPr>
                <w:rFonts w:cstheme="minorHAnsi"/>
                <w:sz w:val="24"/>
                <w:szCs w:val="24"/>
                <w:lang w:val="es-PA"/>
              </w:rPr>
              <w:t>En el caso que el CBI no cumpla con alguno de los requisitos mínimos establecidos en este procedimiento</w:t>
            </w:r>
            <w:r w:rsidR="00F802C3" w:rsidRPr="00F802C3">
              <w:rPr>
                <w:rFonts w:cstheme="minorHAnsi"/>
                <w:sz w:val="24"/>
                <w:szCs w:val="24"/>
                <w:lang w:val="es-PA"/>
              </w:rPr>
              <w:t>, e</w:t>
            </w:r>
            <w:r w:rsidR="003800B6" w:rsidRPr="00F802C3">
              <w:rPr>
                <w:rFonts w:cstheme="minorHAnsi"/>
                <w:sz w:val="24"/>
                <w:szCs w:val="24"/>
                <w:lang w:val="es-PA"/>
              </w:rPr>
              <w:t xml:space="preserve">l </w:t>
            </w:r>
            <w:r w:rsidR="00F802C3" w:rsidRPr="00F802C3">
              <w:rPr>
                <w:rFonts w:cstheme="minorHAnsi"/>
                <w:sz w:val="24"/>
                <w:szCs w:val="24"/>
                <w:lang w:val="es-PA"/>
              </w:rPr>
              <w:t>pleno</w:t>
            </w:r>
            <w:r w:rsidR="00A21423" w:rsidRPr="00F802C3">
              <w:rPr>
                <w:rFonts w:cstheme="minorHAnsi"/>
                <w:sz w:val="24"/>
                <w:szCs w:val="24"/>
                <w:lang w:val="es-PA"/>
              </w:rPr>
              <w:t xml:space="preserve"> del CNBI establecerá</w:t>
            </w:r>
            <w:r w:rsidR="00F802C3" w:rsidRPr="00F802C3">
              <w:rPr>
                <w:rFonts w:cstheme="minorHAnsi"/>
                <w:sz w:val="24"/>
                <w:szCs w:val="24"/>
                <w:lang w:val="es-PA"/>
              </w:rPr>
              <w:t xml:space="preserve"> el plazo para el cumplimiento de los requisitos solicitados. </w:t>
            </w:r>
          </w:p>
          <w:p w14:paraId="5800DEA2" w14:textId="0090D543" w:rsidR="008F4AD8" w:rsidRDefault="003800B6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Al cu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>m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plirse </w:t>
            </w:r>
            <w:r w:rsidR="006D4BD6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plazo establecido</w:t>
            </w:r>
            <w:r w:rsidR="006D4BD6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se solicitará a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Comité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 xml:space="preserve"> la confirmación de la fec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ha final de implementación 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 xml:space="preserve">de las acciones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establecidas,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 xml:space="preserve"> así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como la doc</w:t>
            </w:r>
            <w:r w:rsidR="00A21423" w:rsidRPr="00C32B7B">
              <w:rPr>
                <w:rFonts w:cstheme="minorHAnsi"/>
                <w:sz w:val="24"/>
                <w:szCs w:val="24"/>
                <w:lang w:val="es-PA"/>
              </w:rPr>
              <w:t>umentación de soporte si corresp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onde.</w:t>
            </w:r>
          </w:p>
          <w:p w14:paraId="1FB8B54C" w14:textId="4F5441C0" w:rsidR="008F4AD8" w:rsidRPr="008F4AD8" w:rsidRDefault="008F4AD8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El CNBI establecerá la fecha de la visita y se designarán prefer</w:t>
            </w:r>
            <w:r w:rsidR="006D4BD6">
              <w:rPr>
                <w:rFonts w:cstheme="minorHAnsi"/>
                <w:sz w:val="24"/>
                <w:szCs w:val="24"/>
                <w:lang w:val="es-PA"/>
              </w:rPr>
              <w:t>iblemente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los mismos evaluadores que participaron de la visita anterior. Luego de la visita, se  presenta el informe en la siguiente reunión ordinaria del CNBI</w:t>
            </w:r>
            <w:r w:rsidR="001E6ED1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6BD5D576" w14:textId="241CD1BA" w:rsidR="00AD00DF" w:rsidRPr="00F06496" w:rsidRDefault="00AD00DF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F06496">
              <w:rPr>
                <w:rFonts w:cstheme="minorHAnsi"/>
                <w:sz w:val="24"/>
                <w:szCs w:val="24"/>
                <w:lang w:val="es-PA"/>
              </w:rPr>
              <w:lastRenderedPageBreak/>
              <w:t>En la reunión ordinaria en la cual se certifica el CBI</w:t>
            </w:r>
            <w:r w:rsidR="001E7FE2" w:rsidRPr="00F06496">
              <w:rPr>
                <w:rFonts w:cstheme="minorHAnsi"/>
                <w:sz w:val="24"/>
                <w:szCs w:val="24"/>
                <w:lang w:val="es-PA"/>
              </w:rPr>
              <w:t xml:space="preserve">, se asignará a un miembro del CNBI para que </w:t>
            </w:r>
            <w:r w:rsidR="006D4BD6" w:rsidRPr="00F06496">
              <w:rPr>
                <w:rFonts w:cstheme="minorHAnsi"/>
                <w:sz w:val="24"/>
                <w:szCs w:val="24"/>
                <w:lang w:val="es-PA"/>
              </w:rPr>
              <w:t>dé</w:t>
            </w:r>
            <w:r w:rsidR="001E7FE2" w:rsidRPr="00F06496">
              <w:rPr>
                <w:rFonts w:cstheme="minorHAnsi"/>
                <w:sz w:val="24"/>
                <w:szCs w:val="24"/>
                <w:lang w:val="es-PA"/>
              </w:rPr>
              <w:t xml:space="preserve"> seguimiento y acompañamiento al CBI, durante el tiempo que dure la primera certificación. Este periodo puede extenderse según evaluación del CNBI. </w:t>
            </w:r>
          </w:p>
          <w:p w14:paraId="71C1D410" w14:textId="77777777" w:rsidR="006D4BD6" w:rsidRDefault="001E7FE2" w:rsidP="0034770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FD623B">
              <w:rPr>
                <w:rFonts w:cstheme="minorHAnsi"/>
                <w:sz w:val="24"/>
                <w:szCs w:val="24"/>
                <w:lang w:val="es-PA"/>
              </w:rPr>
              <w:t>Los miembros del CNBI a los cuales se asigne el acompañamiento de los CBIs, deberán presentar</w:t>
            </w:r>
            <w:r w:rsidR="005D4FF1" w:rsidRPr="00FD623B">
              <w:rPr>
                <w:rFonts w:cstheme="minorHAnsi"/>
                <w:sz w:val="24"/>
                <w:szCs w:val="24"/>
                <w:lang w:val="es-PA"/>
              </w:rPr>
              <w:t xml:space="preserve"> verbalmente</w:t>
            </w:r>
            <w:r w:rsidR="00F06496" w:rsidRPr="00FD623B">
              <w:rPr>
                <w:rFonts w:cstheme="minorHAnsi"/>
                <w:sz w:val="24"/>
                <w:szCs w:val="24"/>
                <w:lang w:val="es-PA"/>
              </w:rPr>
              <w:t xml:space="preserve"> o de forma escrita</w:t>
            </w:r>
            <w:r w:rsidRPr="00FD623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5D4FF1" w:rsidRPr="00FD623B">
              <w:rPr>
                <w:rFonts w:cstheme="minorHAnsi"/>
                <w:sz w:val="24"/>
                <w:szCs w:val="24"/>
                <w:lang w:val="es-PA"/>
              </w:rPr>
              <w:t xml:space="preserve">(en las reuniones ordinarias), </w:t>
            </w:r>
            <w:r w:rsidRPr="00FD623B">
              <w:rPr>
                <w:rFonts w:cstheme="minorHAnsi"/>
                <w:sz w:val="24"/>
                <w:szCs w:val="24"/>
                <w:lang w:val="es-PA"/>
              </w:rPr>
              <w:t>un informe mensual</w:t>
            </w:r>
            <w:r w:rsidR="005C595A" w:rsidRPr="00FD623B">
              <w:rPr>
                <w:rFonts w:cstheme="minorHAnsi"/>
                <w:sz w:val="24"/>
                <w:szCs w:val="24"/>
                <w:lang w:val="es-PA"/>
              </w:rPr>
              <w:t xml:space="preserve"> de actividades realizadas durante el acompañamiento (reuniones o actividades en las que ha participado, consultas o preguntas del CBI). En el caso que el miembro que acompañe se le solicite dictar alguna capacitación, también debe ser informado al CNBI. </w:t>
            </w:r>
          </w:p>
          <w:p w14:paraId="18791EF8" w14:textId="2EA424FD" w:rsidR="00AD00DF" w:rsidRPr="0034770F" w:rsidRDefault="006D4BD6" w:rsidP="006D4BD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En caso que un miembro del CNBI forme parte de los miembros del Comité a certificar,</w:t>
            </w:r>
            <w:r w:rsidR="00E65672">
              <w:rPr>
                <w:rFonts w:cstheme="minorHAnsi"/>
                <w:sz w:val="24"/>
                <w:szCs w:val="24"/>
                <w:lang w:val="es-PA"/>
              </w:rPr>
              <w:t xml:space="preserve"> éste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podría realizar el acompañamiento </w:t>
            </w:r>
            <w:r w:rsidR="00E65672">
              <w:rPr>
                <w:rFonts w:cstheme="minorHAnsi"/>
                <w:sz w:val="24"/>
                <w:szCs w:val="24"/>
                <w:lang w:val="es-PA"/>
              </w:rPr>
              <w:t>en representación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del CNBI.</w:t>
            </w:r>
            <w:r w:rsidR="00E65672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50BE311F" w14:textId="77777777" w:rsidR="00724A2D" w:rsidRPr="00C32B7B" w:rsidRDefault="00724A2D" w:rsidP="00724A2D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92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14:paraId="665483CC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3512364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07035F54" w14:textId="77777777" w:rsidTr="00215110">
        <w:tc>
          <w:tcPr>
            <w:tcW w:w="10349" w:type="dxa"/>
            <w:shd w:val="pct5" w:color="auto" w:fill="auto"/>
          </w:tcPr>
          <w:p w14:paraId="6AC79DF3" w14:textId="77777777" w:rsidR="00471446" w:rsidRPr="00C32B7B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32B7B" w14:paraId="67E2F284" w14:textId="77777777" w:rsidTr="00215110">
        <w:tc>
          <w:tcPr>
            <w:tcW w:w="10349" w:type="dxa"/>
          </w:tcPr>
          <w:p w14:paraId="276CCA4C" w14:textId="77777777" w:rsidR="00084D47" w:rsidRPr="00C32B7B" w:rsidRDefault="0086472A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 xml:space="preserve">012 </w:t>
            </w:r>
            <w:r w:rsid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 xml:space="preserve">Solicitud y lista de verificación de requisitos para certificación inicial o </w:t>
            </w:r>
            <w:r w:rsidR="00BB2875" w:rsidRPr="00C32B7B">
              <w:rPr>
                <w:rFonts w:cstheme="minorHAnsi"/>
                <w:sz w:val="24"/>
                <w:szCs w:val="24"/>
                <w:lang w:val="es-PA"/>
              </w:rPr>
              <w:t>Recertificación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 xml:space="preserve">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1399829B" w14:textId="77777777" w:rsidR="00084D47" w:rsidRPr="00C32B7B" w:rsidRDefault="00084D47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PT-014 Certificación de Comité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</w:p>
          <w:p w14:paraId="0334223E" w14:textId="77777777" w:rsidR="00F751C9" w:rsidRPr="00C32B7B" w:rsidRDefault="00084D47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PT-015</w:t>
            </w:r>
            <w:r w:rsidR="007C5FE9" w:rsidRPr="00C32B7B">
              <w:rPr>
                <w:rFonts w:cstheme="minorHAnsi"/>
                <w:sz w:val="24"/>
                <w:szCs w:val="24"/>
                <w:lang w:val="es-PA"/>
              </w:rPr>
              <w:t>A Visita de certificación</w:t>
            </w:r>
          </w:p>
          <w:p w14:paraId="7294D7E3" w14:textId="720FFBFC" w:rsidR="0086472A" w:rsidRDefault="0034650F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PT-016</w:t>
            </w:r>
            <w:r w:rsidR="005C595A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>Informe</w:t>
            </w:r>
            <w:r w:rsidR="005C595A">
              <w:rPr>
                <w:rFonts w:cstheme="minorHAnsi"/>
                <w:sz w:val="24"/>
                <w:szCs w:val="24"/>
                <w:lang w:val="es-PA"/>
              </w:rPr>
              <w:t xml:space="preserve"> Mensual de Actividades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Comités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a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CN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BI.</w:t>
            </w:r>
          </w:p>
          <w:p w14:paraId="5F4D929C" w14:textId="77777777" w:rsidR="005C595A" w:rsidRDefault="005C595A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PT-016</w:t>
            </w:r>
            <w:r>
              <w:rPr>
                <w:rFonts w:cstheme="minorHAnsi"/>
                <w:sz w:val="24"/>
                <w:szCs w:val="24"/>
                <w:lang w:val="es-PA"/>
              </w:rPr>
              <w:t>B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Informe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Anual de Actividades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de Comités de Bioética al CNBI.</w:t>
            </w:r>
          </w:p>
          <w:p w14:paraId="16C392C9" w14:textId="697E8F4C" w:rsidR="006F3071" w:rsidRPr="00C32B7B" w:rsidRDefault="006F3071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PT-04</w:t>
            </w:r>
            <w:r w:rsidR="001D17A1">
              <w:rPr>
                <w:rFonts w:cstheme="minorHAnsi"/>
                <w:sz w:val="24"/>
                <w:szCs w:val="24"/>
                <w:lang w:val="es-PA"/>
              </w:rPr>
              <w:t>3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Información de Miembro de CBI.</w:t>
            </w:r>
          </w:p>
        </w:tc>
      </w:tr>
    </w:tbl>
    <w:p w14:paraId="087EB1CE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F77D2CC" w14:textId="77777777" w:rsidR="001546EB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32B7B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C32B7B" w14:paraId="2791DF06" w14:textId="77777777" w:rsidTr="00C32B7B">
        <w:tc>
          <w:tcPr>
            <w:tcW w:w="10349" w:type="dxa"/>
            <w:shd w:val="clear" w:color="auto" w:fill="C2D69B" w:themeFill="accent3" w:themeFillTint="99"/>
            <w:vAlign w:val="center"/>
          </w:tcPr>
          <w:p w14:paraId="32DEC755" w14:textId="77777777" w:rsidR="001546EB" w:rsidRPr="00C32B7B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C32B7B" w14:paraId="15DBA3B8" w14:textId="77777777" w:rsidTr="00C32B7B">
        <w:tc>
          <w:tcPr>
            <w:tcW w:w="2987" w:type="dxa"/>
            <w:shd w:val="clear" w:color="auto" w:fill="C2D69B" w:themeFill="accent3" w:themeFillTint="99"/>
            <w:vAlign w:val="center"/>
          </w:tcPr>
          <w:p w14:paraId="2225A62C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1964BA48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84B1CE5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04A054A3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32B7B" w14:paraId="1AC20316" w14:textId="77777777" w:rsidTr="00215110">
        <w:tc>
          <w:tcPr>
            <w:tcW w:w="2987" w:type="dxa"/>
            <w:vAlign w:val="center"/>
          </w:tcPr>
          <w:p w14:paraId="26248DA8" w14:textId="7211DE45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35B2844" w14:textId="62FBD471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B24A86C" w14:textId="2C44B5B6" w:rsidR="00CA4235" w:rsidRPr="00C32B7B" w:rsidRDefault="00CA4235" w:rsidP="004E0B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85E0A69" w14:textId="47C35946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FD2B86" w14:textId="77777777" w:rsidR="00CA4235" w:rsidRPr="00C32B7B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E7B86ED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C32B7B" w14:paraId="735874EB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73F4045E" w14:textId="77777777" w:rsidR="001335DF" w:rsidRPr="00C32B7B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32B7B" w14:paraId="5D6996BC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238A556E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0CFC32C2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233EF21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2392BA45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6C88AA8" w14:textId="77777777" w:rsidR="00371690" w:rsidRPr="00C32B7B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7C1923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DD1FD8" w14:textId="77777777" w:rsidR="00A85348" w:rsidRPr="00C32B7B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lastRenderedPageBreak/>
              <w:t>Secretaria Técnica</w:t>
            </w:r>
          </w:p>
        </w:tc>
        <w:tc>
          <w:tcPr>
            <w:tcW w:w="2245" w:type="dxa"/>
            <w:vAlign w:val="center"/>
          </w:tcPr>
          <w:p w14:paraId="3B1B69ED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5BB7560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C32B7B" w14:paraId="67FD9596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4F00AD1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32B7B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32B7B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32B7B" w14:paraId="25A4B803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06607ED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EEF1F20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7689F5B9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1AB9CA77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B342408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5711AF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4E4B0D" w14:textId="77777777" w:rsidR="0060493A" w:rsidRPr="00C32B7B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C32B7B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2BA221D1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5F81E94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9901A2" w14:textId="77777777" w:rsidR="00CA4235" w:rsidRPr="00C32B7B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32B7B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5702" w14:textId="77777777" w:rsidR="00956DD8" w:rsidRDefault="00956DD8" w:rsidP="00CA4235">
      <w:pPr>
        <w:spacing w:after="0" w:line="240" w:lineRule="auto"/>
      </w:pPr>
      <w:r>
        <w:separator/>
      </w:r>
    </w:p>
  </w:endnote>
  <w:endnote w:type="continuationSeparator" w:id="0">
    <w:p w14:paraId="06654E14" w14:textId="77777777" w:rsidR="00956DD8" w:rsidRDefault="00956DD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1522" w14:textId="77777777" w:rsidR="00D15CD5" w:rsidRPr="001B57AF" w:rsidRDefault="00D15CD5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14:paraId="48EF9357" w14:textId="14B2D496" w:rsidR="00D15CD5" w:rsidRPr="001B57AF" w:rsidRDefault="00D15CD5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1B57AF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B82AEB" w:rsidRPr="00B82AEB">
      <w:rPr>
        <w:rFonts w:cs="Arial"/>
        <w:b/>
        <w:i/>
        <w:noProof/>
        <w:color w:val="000000" w:themeColor="text1"/>
        <w:sz w:val="16"/>
        <w:szCs w:val="16"/>
        <w:lang w:val="es-ES"/>
      </w:rPr>
      <w:t>5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end"/>
    </w: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B82AEB">
      <w:rPr>
        <w:rFonts w:cs="Arial"/>
        <w:b/>
        <w:i/>
        <w:noProof/>
        <w:color w:val="000000" w:themeColor="text1"/>
        <w:sz w:val="16"/>
        <w:szCs w:val="16"/>
        <w:lang w:val="es-ES"/>
      </w:rPr>
      <w:t>6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9F45037" w14:textId="77777777" w:rsidR="00D15CD5" w:rsidRPr="0060493A" w:rsidRDefault="00D15CD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71EC" w14:textId="77777777" w:rsidR="00956DD8" w:rsidRDefault="00956DD8" w:rsidP="00CA4235">
      <w:pPr>
        <w:spacing w:after="0" w:line="240" w:lineRule="auto"/>
      </w:pPr>
      <w:r>
        <w:separator/>
      </w:r>
    </w:p>
  </w:footnote>
  <w:footnote w:type="continuationSeparator" w:id="0">
    <w:p w14:paraId="588C997D" w14:textId="77777777" w:rsidR="00956DD8" w:rsidRDefault="00956DD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CF5A8F" w14:paraId="2EDCF9EE" w14:textId="77777777" w:rsidTr="0036336D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5069199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CAA79FD" wp14:editId="7316A44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0C59E6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5CE192B0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32B7B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54C54460" w14:textId="77777777" w:rsidR="00CF5A8F" w:rsidRPr="00C32B7B" w:rsidRDefault="00CF5A8F" w:rsidP="00CF5A8F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CF5A8F" w:rsidRPr="00E32C9A" w14:paraId="6D0C701D" w14:textId="77777777" w:rsidTr="00C32B7B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6E6CFE3E" w14:textId="77777777" w:rsidR="00CF5A8F" w:rsidRPr="006F3071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6F3071">
            <w:rPr>
              <w:rFonts w:cstheme="minorHAnsi"/>
              <w:b/>
              <w:sz w:val="24"/>
              <w:szCs w:val="24"/>
            </w:rPr>
            <w:t>Código: PO-007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662881B" w14:textId="316568CB" w:rsidR="00CF5A8F" w:rsidRPr="006F3071" w:rsidRDefault="00CF5A8F" w:rsidP="00BF2066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6F3071">
            <w:rPr>
              <w:rFonts w:cstheme="minorHAnsi"/>
              <w:b/>
              <w:sz w:val="24"/>
              <w:szCs w:val="24"/>
            </w:rPr>
            <w:t>Título: Certificación</w:t>
          </w:r>
          <w:r w:rsidR="00612DDE" w:rsidRPr="006F3071">
            <w:rPr>
              <w:rFonts w:cstheme="minorHAnsi"/>
              <w:b/>
              <w:sz w:val="24"/>
              <w:szCs w:val="24"/>
            </w:rPr>
            <w:t xml:space="preserve"> Inicial</w:t>
          </w:r>
          <w:r w:rsidRPr="006F3071">
            <w:rPr>
              <w:rFonts w:cstheme="minorHAnsi"/>
              <w:b/>
              <w:sz w:val="24"/>
              <w:szCs w:val="24"/>
            </w:rPr>
            <w:t xml:space="preserve"> de Comités de </w:t>
          </w:r>
          <w:r w:rsidR="00BF2066" w:rsidRPr="006F3071">
            <w:rPr>
              <w:rFonts w:cstheme="minorHAnsi"/>
              <w:b/>
              <w:sz w:val="24"/>
              <w:szCs w:val="24"/>
            </w:rPr>
            <w:t>Bioética</w:t>
          </w:r>
          <w:r w:rsidR="00B57405" w:rsidRPr="006F3071">
            <w:rPr>
              <w:rFonts w:cstheme="minorHAnsi"/>
              <w:b/>
              <w:sz w:val="24"/>
              <w:szCs w:val="24"/>
            </w:rPr>
            <w:t xml:space="preserve"> de la Investigación</w:t>
          </w:r>
        </w:p>
      </w:tc>
    </w:tr>
    <w:tr w:rsidR="00BF2066" w14:paraId="490C4CDB" w14:textId="77777777" w:rsidTr="004039F0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1135EF7D" w14:textId="69330A45" w:rsidR="00BF2066" w:rsidRPr="006F3071" w:rsidRDefault="00BF2066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6F3071">
            <w:rPr>
              <w:rFonts w:cstheme="minorHAnsi"/>
              <w:b/>
              <w:sz w:val="24"/>
              <w:szCs w:val="24"/>
            </w:rPr>
            <w:t xml:space="preserve">Versión: </w:t>
          </w:r>
          <w:r w:rsidR="00A03406" w:rsidRPr="006F3071">
            <w:rPr>
              <w:rFonts w:cstheme="minorHAnsi"/>
              <w:b/>
              <w:sz w:val="24"/>
              <w:szCs w:val="24"/>
            </w:rPr>
            <w:t>3.0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15810" w14:textId="4C8DD5FE" w:rsidR="00BF2066" w:rsidRPr="006F3071" w:rsidRDefault="00BF2066" w:rsidP="00BF2066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6F3071">
            <w:rPr>
              <w:rFonts w:cstheme="minorHAnsi"/>
              <w:sz w:val="24"/>
              <w:szCs w:val="24"/>
            </w:rPr>
            <w:t xml:space="preserve">Fecha: </w:t>
          </w:r>
          <w:r w:rsidR="00A03406" w:rsidRPr="006F3071">
            <w:rPr>
              <w:rFonts w:cstheme="minorHAnsi"/>
              <w:sz w:val="24"/>
              <w:szCs w:val="24"/>
            </w:rPr>
            <w:t>12 de julio de</w:t>
          </w:r>
          <w:r w:rsidR="00B464FB" w:rsidRPr="006F3071">
            <w:rPr>
              <w:rFonts w:cstheme="minorHAnsi"/>
              <w:sz w:val="24"/>
              <w:szCs w:val="24"/>
            </w:rPr>
            <w:t xml:space="preserve"> 2022</w:t>
          </w:r>
        </w:p>
      </w:tc>
    </w:tr>
  </w:tbl>
  <w:p w14:paraId="77ED4EBD" w14:textId="77777777" w:rsidR="00CF5A8F" w:rsidRPr="00733B85" w:rsidRDefault="00CF5A8F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5" w15:restartNumberingAfterBreak="0">
    <w:nsid w:val="29695A0A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016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3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4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5198301">
    <w:abstractNumId w:val="2"/>
  </w:num>
  <w:num w:numId="2" w16cid:durableId="1446077461">
    <w:abstractNumId w:val="0"/>
  </w:num>
  <w:num w:numId="3" w16cid:durableId="682512915">
    <w:abstractNumId w:val="20"/>
  </w:num>
  <w:num w:numId="4" w16cid:durableId="1269507353">
    <w:abstractNumId w:val="6"/>
  </w:num>
  <w:num w:numId="5" w16cid:durableId="1764296143">
    <w:abstractNumId w:val="9"/>
  </w:num>
  <w:num w:numId="6" w16cid:durableId="1953397520">
    <w:abstractNumId w:val="21"/>
  </w:num>
  <w:num w:numId="7" w16cid:durableId="797643930">
    <w:abstractNumId w:val="14"/>
  </w:num>
  <w:num w:numId="8" w16cid:durableId="1031344800">
    <w:abstractNumId w:val="3"/>
  </w:num>
  <w:num w:numId="9" w16cid:durableId="1360549064">
    <w:abstractNumId w:val="8"/>
  </w:num>
  <w:num w:numId="10" w16cid:durableId="1249732456">
    <w:abstractNumId w:val="15"/>
  </w:num>
  <w:num w:numId="11" w16cid:durableId="1228110036">
    <w:abstractNumId w:val="18"/>
  </w:num>
  <w:num w:numId="12" w16cid:durableId="633484750">
    <w:abstractNumId w:val="17"/>
  </w:num>
  <w:num w:numId="13" w16cid:durableId="1469517743">
    <w:abstractNumId w:val="1"/>
  </w:num>
  <w:num w:numId="14" w16cid:durableId="1959097586">
    <w:abstractNumId w:val="16"/>
  </w:num>
  <w:num w:numId="15" w16cid:durableId="996374194">
    <w:abstractNumId w:val="19"/>
  </w:num>
  <w:num w:numId="16" w16cid:durableId="112407269">
    <w:abstractNumId w:val="10"/>
  </w:num>
  <w:num w:numId="17" w16cid:durableId="1684090632">
    <w:abstractNumId w:val="11"/>
  </w:num>
  <w:num w:numId="18" w16cid:durableId="1794597933">
    <w:abstractNumId w:val="13"/>
  </w:num>
  <w:num w:numId="19" w16cid:durableId="611858630">
    <w:abstractNumId w:val="4"/>
  </w:num>
  <w:num w:numId="20" w16cid:durableId="1166480321">
    <w:abstractNumId w:val="12"/>
  </w:num>
  <w:num w:numId="21" w16cid:durableId="900946779">
    <w:abstractNumId w:val="7"/>
  </w:num>
  <w:num w:numId="22" w16cid:durableId="188555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2699E"/>
    <w:rsid w:val="00027B0A"/>
    <w:rsid w:val="000440E8"/>
    <w:rsid w:val="000848E8"/>
    <w:rsid w:val="00084D47"/>
    <w:rsid w:val="00086803"/>
    <w:rsid w:val="000D10DC"/>
    <w:rsid w:val="000E1A88"/>
    <w:rsid w:val="000E7608"/>
    <w:rsid w:val="001128F3"/>
    <w:rsid w:val="00121ED0"/>
    <w:rsid w:val="001335DF"/>
    <w:rsid w:val="00135ACE"/>
    <w:rsid w:val="001546EB"/>
    <w:rsid w:val="0015538D"/>
    <w:rsid w:val="001773C1"/>
    <w:rsid w:val="00185E77"/>
    <w:rsid w:val="0019750B"/>
    <w:rsid w:val="001A1F3B"/>
    <w:rsid w:val="001B00A7"/>
    <w:rsid w:val="001B0482"/>
    <w:rsid w:val="001B57AF"/>
    <w:rsid w:val="001B7362"/>
    <w:rsid w:val="001C1173"/>
    <w:rsid w:val="001D17A1"/>
    <w:rsid w:val="001E4998"/>
    <w:rsid w:val="001E6ED1"/>
    <w:rsid w:val="001E7FE2"/>
    <w:rsid w:val="001F65FC"/>
    <w:rsid w:val="00212B78"/>
    <w:rsid w:val="00213FED"/>
    <w:rsid w:val="00215110"/>
    <w:rsid w:val="002425F0"/>
    <w:rsid w:val="002964E6"/>
    <w:rsid w:val="002A2AC2"/>
    <w:rsid w:val="002D0A75"/>
    <w:rsid w:val="002E2A99"/>
    <w:rsid w:val="002E66C0"/>
    <w:rsid w:val="00300848"/>
    <w:rsid w:val="00301CA5"/>
    <w:rsid w:val="00305203"/>
    <w:rsid w:val="003463A5"/>
    <w:rsid w:val="0034650F"/>
    <w:rsid w:val="0034770F"/>
    <w:rsid w:val="00350EC3"/>
    <w:rsid w:val="00371690"/>
    <w:rsid w:val="003800B6"/>
    <w:rsid w:val="00392596"/>
    <w:rsid w:val="003A1593"/>
    <w:rsid w:val="003B06DE"/>
    <w:rsid w:val="003B2AC9"/>
    <w:rsid w:val="003D307F"/>
    <w:rsid w:val="003D352A"/>
    <w:rsid w:val="003D630E"/>
    <w:rsid w:val="003F5189"/>
    <w:rsid w:val="004039F0"/>
    <w:rsid w:val="0043378B"/>
    <w:rsid w:val="00461CD5"/>
    <w:rsid w:val="00471446"/>
    <w:rsid w:val="00493526"/>
    <w:rsid w:val="004C6C63"/>
    <w:rsid w:val="004D2476"/>
    <w:rsid w:val="004E0B44"/>
    <w:rsid w:val="005423B6"/>
    <w:rsid w:val="00566CF5"/>
    <w:rsid w:val="005C595A"/>
    <w:rsid w:val="005D4FF1"/>
    <w:rsid w:val="005E0E89"/>
    <w:rsid w:val="005F2A9D"/>
    <w:rsid w:val="0060493A"/>
    <w:rsid w:val="00612DDE"/>
    <w:rsid w:val="00630511"/>
    <w:rsid w:val="00634913"/>
    <w:rsid w:val="00652244"/>
    <w:rsid w:val="006614A0"/>
    <w:rsid w:val="0066551F"/>
    <w:rsid w:val="00667F03"/>
    <w:rsid w:val="0067748A"/>
    <w:rsid w:val="00684079"/>
    <w:rsid w:val="006A320E"/>
    <w:rsid w:val="006B4F8E"/>
    <w:rsid w:val="006C28A5"/>
    <w:rsid w:val="006D325A"/>
    <w:rsid w:val="006D4BD6"/>
    <w:rsid w:val="006E0C62"/>
    <w:rsid w:val="006E5F91"/>
    <w:rsid w:val="006F3071"/>
    <w:rsid w:val="006F45C9"/>
    <w:rsid w:val="00711B42"/>
    <w:rsid w:val="00724A2D"/>
    <w:rsid w:val="00733B85"/>
    <w:rsid w:val="00745056"/>
    <w:rsid w:val="007606A4"/>
    <w:rsid w:val="00770571"/>
    <w:rsid w:val="0077608C"/>
    <w:rsid w:val="00781A7C"/>
    <w:rsid w:val="007C4242"/>
    <w:rsid w:val="007C4E3C"/>
    <w:rsid w:val="007C5FE9"/>
    <w:rsid w:val="007D04B4"/>
    <w:rsid w:val="007D1869"/>
    <w:rsid w:val="007E4FD1"/>
    <w:rsid w:val="007F587D"/>
    <w:rsid w:val="0080399C"/>
    <w:rsid w:val="00806BE1"/>
    <w:rsid w:val="00816B31"/>
    <w:rsid w:val="00831C12"/>
    <w:rsid w:val="008341C7"/>
    <w:rsid w:val="008359AF"/>
    <w:rsid w:val="00841BE7"/>
    <w:rsid w:val="0085162E"/>
    <w:rsid w:val="00854DFE"/>
    <w:rsid w:val="0086472A"/>
    <w:rsid w:val="00893667"/>
    <w:rsid w:val="0089761D"/>
    <w:rsid w:val="008A2FDD"/>
    <w:rsid w:val="008B48C4"/>
    <w:rsid w:val="008B5F5C"/>
    <w:rsid w:val="008C7502"/>
    <w:rsid w:val="008D359E"/>
    <w:rsid w:val="008E0BE5"/>
    <w:rsid w:val="008F4AD8"/>
    <w:rsid w:val="00900318"/>
    <w:rsid w:val="009138D9"/>
    <w:rsid w:val="00933339"/>
    <w:rsid w:val="00956616"/>
    <w:rsid w:val="00956DD8"/>
    <w:rsid w:val="009A66D2"/>
    <w:rsid w:val="009B0050"/>
    <w:rsid w:val="009F4FDF"/>
    <w:rsid w:val="009F79A6"/>
    <w:rsid w:val="00A03406"/>
    <w:rsid w:val="00A15235"/>
    <w:rsid w:val="00A21423"/>
    <w:rsid w:val="00A32302"/>
    <w:rsid w:val="00A34C08"/>
    <w:rsid w:val="00A34C4C"/>
    <w:rsid w:val="00A471ED"/>
    <w:rsid w:val="00A50603"/>
    <w:rsid w:val="00A55177"/>
    <w:rsid w:val="00A67D93"/>
    <w:rsid w:val="00A76EE3"/>
    <w:rsid w:val="00A85348"/>
    <w:rsid w:val="00A94EB6"/>
    <w:rsid w:val="00AD00DF"/>
    <w:rsid w:val="00AE3178"/>
    <w:rsid w:val="00AE7DB0"/>
    <w:rsid w:val="00B100BA"/>
    <w:rsid w:val="00B113FC"/>
    <w:rsid w:val="00B13905"/>
    <w:rsid w:val="00B30A7E"/>
    <w:rsid w:val="00B464FB"/>
    <w:rsid w:val="00B5182B"/>
    <w:rsid w:val="00B57405"/>
    <w:rsid w:val="00B57BA6"/>
    <w:rsid w:val="00B82AEB"/>
    <w:rsid w:val="00B914A7"/>
    <w:rsid w:val="00BA119E"/>
    <w:rsid w:val="00BB2875"/>
    <w:rsid w:val="00BE6E67"/>
    <w:rsid w:val="00BE7A3E"/>
    <w:rsid w:val="00BF0AE9"/>
    <w:rsid w:val="00BF2066"/>
    <w:rsid w:val="00C14973"/>
    <w:rsid w:val="00C15BD9"/>
    <w:rsid w:val="00C32B7B"/>
    <w:rsid w:val="00C53323"/>
    <w:rsid w:val="00C62809"/>
    <w:rsid w:val="00C759C3"/>
    <w:rsid w:val="00CA4235"/>
    <w:rsid w:val="00CC1B4D"/>
    <w:rsid w:val="00CF5A8F"/>
    <w:rsid w:val="00D01BE0"/>
    <w:rsid w:val="00D15CD5"/>
    <w:rsid w:val="00D24830"/>
    <w:rsid w:val="00D262B3"/>
    <w:rsid w:val="00D263A3"/>
    <w:rsid w:val="00D32227"/>
    <w:rsid w:val="00D3621B"/>
    <w:rsid w:val="00D62FB8"/>
    <w:rsid w:val="00DA2677"/>
    <w:rsid w:val="00E06355"/>
    <w:rsid w:val="00E179DF"/>
    <w:rsid w:val="00E32C9A"/>
    <w:rsid w:val="00E37F7C"/>
    <w:rsid w:val="00E53B51"/>
    <w:rsid w:val="00E577F6"/>
    <w:rsid w:val="00E65672"/>
    <w:rsid w:val="00E959C5"/>
    <w:rsid w:val="00EA2A08"/>
    <w:rsid w:val="00EB14F9"/>
    <w:rsid w:val="00EC2A4E"/>
    <w:rsid w:val="00EC65BB"/>
    <w:rsid w:val="00EC6A38"/>
    <w:rsid w:val="00EC7E26"/>
    <w:rsid w:val="00EF1BF8"/>
    <w:rsid w:val="00F06496"/>
    <w:rsid w:val="00F1706A"/>
    <w:rsid w:val="00F255F7"/>
    <w:rsid w:val="00F3457C"/>
    <w:rsid w:val="00F364D9"/>
    <w:rsid w:val="00F37C5E"/>
    <w:rsid w:val="00F52203"/>
    <w:rsid w:val="00F61ADA"/>
    <w:rsid w:val="00F64B2A"/>
    <w:rsid w:val="00F70234"/>
    <w:rsid w:val="00F751C9"/>
    <w:rsid w:val="00F802C3"/>
    <w:rsid w:val="00F86FF9"/>
    <w:rsid w:val="00F878D5"/>
    <w:rsid w:val="00FA1BB3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773A6F8B"/>
  <w15:docId w15:val="{3CE86E19-7697-4520-BA43-2EA6F04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EB23-50B3-47F4-B0C0-CF085F3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Tuñón;Ana Sanchez Urrutia</dc:creator>
  <cp:lastModifiedBy>Magalys Quintana Tuñon</cp:lastModifiedBy>
  <cp:revision>3</cp:revision>
  <cp:lastPrinted>2017-03-10T19:32:00Z</cp:lastPrinted>
  <dcterms:created xsi:type="dcterms:W3CDTF">2022-11-24T19:58:00Z</dcterms:created>
  <dcterms:modified xsi:type="dcterms:W3CDTF">2022-11-25T19:34:00Z</dcterms:modified>
</cp:coreProperties>
</file>