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3F544DDE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595224A2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32B7B" w14:paraId="3B52941C" w14:textId="77777777" w:rsidTr="00215110">
        <w:tc>
          <w:tcPr>
            <w:tcW w:w="10349" w:type="dxa"/>
            <w:tcBorders>
              <w:bottom w:val="dotted" w:sz="4" w:space="0" w:color="auto"/>
            </w:tcBorders>
          </w:tcPr>
          <w:p w14:paraId="203C1085" w14:textId="0C842B3A" w:rsidR="00471446" w:rsidRPr="00C32B7B" w:rsidRDefault="006D325A" w:rsidP="00BB28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Establecer el procedimiento a observar para la </w:t>
            </w:r>
            <w:r w:rsidR="00BB2875" w:rsidRPr="00C32B7B">
              <w:rPr>
                <w:rFonts w:cstheme="minorHAnsi"/>
                <w:sz w:val="24"/>
                <w:szCs w:val="24"/>
                <w:lang w:val="es-PA"/>
              </w:rPr>
              <w:t>recertificación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para la revisión y aprobación de estudios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de investigación para la salud y con participantes humanos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471446" w:rsidRPr="00C32B7B" w14:paraId="6F01362F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6A08CF2F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32B7B" w14:paraId="3D0D3194" w14:textId="77777777" w:rsidTr="00215110">
        <w:tc>
          <w:tcPr>
            <w:tcW w:w="10349" w:type="dxa"/>
          </w:tcPr>
          <w:p w14:paraId="1C88896F" w14:textId="0532A02D" w:rsidR="00471446" w:rsidRPr="00C32B7B" w:rsidRDefault="006D325A" w:rsidP="00BF20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Todo Comité Ins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titucional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3A1593" w:rsidRPr="00C32B7B">
              <w:rPr>
                <w:rFonts w:cstheme="minorHAnsi"/>
                <w:sz w:val="24"/>
                <w:szCs w:val="24"/>
                <w:lang w:val="es-PA"/>
              </w:rPr>
              <w:t xml:space="preserve"> de la Investigación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 xml:space="preserve">Acreditado 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>que deba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ser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certificado por el CNBI. </w:t>
            </w:r>
          </w:p>
        </w:tc>
      </w:tr>
    </w:tbl>
    <w:p w14:paraId="3E33D4D4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6578AF97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C32B7B" w14:paraId="14EF6B3D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61F5273E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C32B7B" w14:paraId="4565FBD8" w14:textId="77777777" w:rsidTr="006D325A">
        <w:tc>
          <w:tcPr>
            <w:tcW w:w="2694" w:type="dxa"/>
            <w:vAlign w:val="center"/>
          </w:tcPr>
          <w:p w14:paraId="3FF1C459" w14:textId="77777777" w:rsidR="00471446" w:rsidRPr="00C32B7B" w:rsidRDefault="006D325A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Certificación</w:t>
            </w:r>
          </w:p>
        </w:tc>
        <w:tc>
          <w:tcPr>
            <w:tcW w:w="7655" w:type="dxa"/>
          </w:tcPr>
          <w:p w14:paraId="39066539" w14:textId="77777777" w:rsidR="00471446" w:rsidRPr="00C32B7B" w:rsidRDefault="00461CD5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</w:rPr>
              <w:t>Proceso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 mediante el cual un organismo da una 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 xml:space="preserve">garantía 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por escrito, de que </w:t>
            </w:r>
            <w:r>
              <w:rPr>
                <w:rFonts w:cstheme="minorHAnsi"/>
                <w:sz w:val="24"/>
                <w:szCs w:val="24"/>
              </w:rPr>
              <w:t>se</w:t>
            </w:r>
            <w:r w:rsidR="006D325A" w:rsidRPr="00C32B7B">
              <w:rPr>
                <w:rFonts w:cstheme="minorHAnsi"/>
                <w:sz w:val="24"/>
                <w:szCs w:val="24"/>
              </w:rPr>
              <w:t xml:space="preserve"> </w:t>
            </w:r>
            <w:r w:rsidR="009B0050">
              <w:rPr>
                <w:rFonts w:cstheme="minorHAnsi"/>
                <w:sz w:val="24"/>
                <w:szCs w:val="24"/>
              </w:rPr>
              <w:t>cumple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 xml:space="preserve"> los requisitos </w:t>
            </w:r>
            <w:r>
              <w:rPr>
                <w:rFonts w:cstheme="minorHAnsi"/>
                <w:bCs/>
                <w:sz w:val="24"/>
                <w:szCs w:val="24"/>
              </w:rPr>
              <w:t>adecuados</w:t>
            </w:r>
            <w:r w:rsidR="006D325A" w:rsidRPr="00C32B7B">
              <w:rPr>
                <w:rFonts w:cstheme="minorHAnsi"/>
                <w:bCs/>
                <w:sz w:val="24"/>
                <w:szCs w:val="24"/>
              </w:rPr>
              <w:t>.</w:t>
            </w:r>
            <w:r w:rsidR="006D325A" w:rsidRPr="00C32B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CD5" w:rsidRPr="00C32B7B" w14:paraId="592591EF" w14:textId="77777777" w:rsidTr="006D325A">
        <w:tc>
          <w:tcPr>
            <w:tcW w:w="2694" w:type="dxa"/>
            <w:vAlign w:val="center"/>
          </w:tcPr>
          <w:p w14:paraId="747B79E3" w14:textId="77777777" w:rsidR="00461CD5" w:rsidRPr="00C32B7B" w:rsidRDefault="00461CD5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</w:p>
        </w:tc>
        <w:tc>
          <w:tcPr>
            <w:tcW w:w="7655" w:type="dxa"/>
          </w:tcPr>
          <w:p w14:paraId="3FFFF34C" w14:textId="77777777" w:rsidR="00461CD5" w:rsidRDefault="00461CD5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5C6A2C" w14:textId="77777777" w:rsidR="00471446" w:rsidRPr="00C32B7B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484"/>
      </w:tblGrid>
      <w:tr w:rsidR="00471446" w:rsidRPr="00C32B7B" w14:paraId="43D40E58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2161E67D" w14:textId="77777777" w:rsidR="00471446" w:rsidRPr="00C32B7B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C32B7B" w14:paraId="5A708347" w14:textId="77777777" w:rsidTr="001A66B2">
        <w:tc>
          <w:tcPr>
            <w:tcW w:w="2865" w:type="dxa"/>
            <w:vAlign w:val="center"/>
          </w:tcPr>
          <w:p w14:paraId="39372401" w14:textId="77777777" w:rsidR="00471446" w:rsidRPr="00C32B7B" w:rsidRDefault="007C4E3C" w:rsidP="001773C1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Secretar</w:t>
            </w:r>
            <w:r w:rsidR="00C32B7B" w:rsidRPr="00C32B7B">
              <w:rPr>
                <w:rFonts w:cstheme="minorHAnsi"/>
                <w:i/>
                <w:sz w:val="24"/>
                <w:szCs w:val="24"/>
                <w:lang w:val="es-PA"/>
              </w:rPr>
              <w:t>í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a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Té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cni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ca</w:t>
            </w:r>
          </w:p>
        </w:tc>
        <w:tc>
          <w:tcPr>
            <w:tcW w:w="7484" w:type="dxa"/>
          </w:tcPr>
          <w:p w14:paraId="136D12A2" w14:textId="282185FE" w:rsidR="00471446" w:rsidRPr="00C32B7B" w:rsidRDefault="003463A5" w:rsidP="006349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Verificación Inicial de cumplimiento de requisitos en cantidad y forma de presentación de solicitudes de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certificación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. Informar al </w:t>
            </w:r>
            <w:proofErr w:type="gramStart"/>
            <w:r w:rsidRPr="00C32B7B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del CNBI sobre los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cuya certificación expira en los próximos </w:t>
            </w:r>
            <w:r w:rsidR="00634913" w:rsidRPr="00C32B7B">
              <w:rPr>
                <w:rFonts w:cstheme="minorHAnsi"/>
                <w:sz w:val="24"/>
                <w:szCs w:val="24"/>
                <w:lang w:val="es-PA"/>
              </w:rPr>
              <w:t>60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días.</w:t>
            </w:r>
          </w:p>
        </w:tc>
      </w:tr>
      <w:tr w:rsidR="003463A5" w:rsidRPr="00C32B7B" w14:paraId="54D10E67" w14:textId="77777777" w:rsidTr="001A66B2">
        <w:tc>
          <w:tcPr>
            <w:tcW w:w="2865" w:type="dxa"/>
            <w:vAlign w:val="center"/>
          </w:tcPr>
          <w:p w14:paraId="29691E00" w14:textId="77777777" w:rsidR="003463A5" w:rsidRPr="00C32B7B" w:rsidRDefault="003463A5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Presidente del CNBI</w:t>
            </w:r>
          </w:p>
        </w:tc>
        <w:tc>
          <w:tcPr>
            <w:tcW w:w="7484" w:type="dxa"/>
          </w:tcPr>
          <w:p w14:paraId="40B0AC5C" w14:textId="343C9D51" w:rsidR="003463A5" w:rsidRPr="00C32B7B" w:rsidRDefault="003463A5" w:rsidP="00CC1B4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Revisar las solicitudes de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certificación por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. Garantizar la revisión de la solicitud y documentación presentada por los miembros del CNBI. Revisar y aprobar las acciones de seguimiento a implementar p</w:t>
            </w:r>
            <w:r w:rsidR="00CC1B4D" w:rsidRPr="00C32B7B">
              <w:rPr>
                <w:rFonts w:cstheme="minorHAnsi"/>
                <w:sz w:val="24"/>
                <w:szCs w:val="24"/>
                <w:lang w:val="es-PA"/>
              </w:rPr>
              <w:t>or los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y garantizar la revisión de su implementación. Aprobar la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certificación de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que cumplan con los requisitos para obtenerla.</w:t>
            </w:r>
          </w:p>
        </w:tc>
      </w:tr>
      <w:tr w:rsidR="00471446" w:rsidRPr="00C32B7B" w14:paraId="60D5B249" w14:textId="77777777" w:rsidTr="001A66B2">
        <w:tc>
          <w:tcPr>
            <w:tcW w:w="2865" w:type="dxa"/>
            <w:vAlign w:val="center"/>
          </w:tcPr>
          <w:p w14:paraId="73225C1B" w14:textId="77777777" w:rsidR="00471446" w:rsidRPr="00C32B7B" w:rsidRDefault="007C4E3C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Miembros del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CNB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I</w:t>
            </w:r>
          </w:p>
        </w:tc>
        <w:tc>
          <w:tcPr>
            <w:tcW w:w="7484" w:type="dxa"/>
          </w:tcPr>
          <w:p w14:paraId="08347E15" w14:textId="2A009503" w:rsidR="00471446" w:rsidRPr="00C32B7B" w:rsidRDefault="003463A5" w:rsidP="00BF20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Participar activamente en las reuniones y actividades de verificación de cumplimiento de </w:t>
            </w:r>
            <w:r w:rsidR="00BE7A3E" w:rsidRPr="00C32B7B">
              <w:rPr>
                <w:rFonts w:cstheme="minorHAnsi"/>
                <w:sz w:val="24"/>
                <w:szCs w:val="24"/>
                <w:lang w:val="es-PA"/>
              </w:rPr>
              <w:t xml:space="preserve">requisitos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de los Comités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que solicitan </w:t>
            </w:r>
            <w:r w:rsidR="003546A1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certificación.</w:t>
            </w:r>
          </w:p>
        </w:tc>
      </w:tr>
      <w:tr w:rsidR="001A66B2" w:rsidRPr="00C32B7B" w14:paraId="25689463" w14:textId="77777777" w:rsidTr="001A66B2">
        <w:tc>
          <w:tcPr>
            <w:tcW w:w="2865" w:type="dxa"/>
            <w:vAlign w:val="center"/>
          </w:tcPr>
          <w:p w14:paraId="4F4A41E9" w14:textId="1E268C2E" w:rsidR="001A66B2" w:rsidRPr="00C32B7B" w:rsidRDefault="001A66B2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>
              <w:rPr>
                <w:rFonts w:cstheme="minorHAnsi"/>
                <w:i/>
                <w:sz w:val="24"/>
                <w:szCs w:val="24"/>
                <w:lang w:val="es-PA"/>
              </w:rPr>
              <w:t>Secretaría Técnica del CBI</w:t>
            </w:r>
          </w:p>
        </w:tc>
        <w:tc>
          <w:tcPr>
            <w:tcW w:w="7484" w:type="dxa"/>
          </w:tcPr>
          <w:p w14:paraId="6ECF6528" w14:textId="360814D3" w:rsidR="001A66B2" w:rsidRPr="00C32B7B" w:rsidRDefault="001A66B2" w:rsidP="00BF20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Debe notificar al CNBI 30 días antes de la fecha, el vencimiento de la certificación actual del Comité.</w:t>
            </w:r>
          </w:p>
        </w:tc>
      </w:tr>
    </w:tbl>
    <w:p w14:paraId="01257F61" w14:textId="77777777" w:rsidR="00471446" w:rsidRPr="00C32B7B" w:rsidRDefault="00471446" w:rsidP="00FA1B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5237A309" w14:textId="77777777" w:rsidTr="00B57405">
        <w:tc>
          <w:tcPr>
            <w:tcW w:w="10349" w:type="dxa"/>
            <w:shd w:val="clear" w:color="auto" w:fill="C2D69B" w:themeFill="accent3" w:themeFillTint="99"/>
          </w:tcPr>
          <w:p w14:paraId="16944C16" w14:textId="77777777" w:rsidR="00471446" w:rsidRPr="00C32B7B" w:rsidRDefault="00471446" w:rsidP="007C4E3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32B7B" w14:paraId="2B6F4270" w14:textId="77777777" w:rsidTr="00215110">
        <w:tc>
          <w:tcPr>
            <w:tcW w:w="10349" w:type="dxa"/>
          </w:tcPr>
          <w:p w14:paraId="75B36107" w14:textId="6F13B7D8" w:rsidR="003546A1" w:rsidRDefault="003546A1" w:rsidP="000727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07273A">
              <w:rPr>
                <w:rFonts w:cstheme="minorHAnsi"/>
                <w:sz w:val="24"/>
                <w:szCs w:val="24"/>
                <w:lang w:val="es-PA"/>
              </w:rPr>
              <w:t>Recertificación de Comités de Bioética</w:t>
            </w:r>
          </w:p>
          <w:p w14:paraId="6280C776" w14:textId="77777777" w:rsidR="001A66B2" w:rsidRPr="0007273A" w:rsidRDefault="001A66B2" w:rsidP="000727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6430ED7D" w14:textId="66D1F8B7" w:rsidR="001A66B2" w:rsidRDefault="00BA16BB" w:rsidP="0007273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lastRenderedPageBreak/>
              <w:t>Por medio de nota, e</w:t>
            </w:r>
            <w:r w:rsidR="001A66B2">
              <w:rPr>
                <w:rFonts w:cstheme="minorHAnsi"/>
                <w:sz w:val="24"/>
                <w:szCs w:val="24"/>
                <w:lang w:val="es-PA"/>
              </w:rPr>
              <w:t xml:space="preserve">l CBI acreditado solicita al CNBI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la recertificación de su comité, </w:t>
            </w:r>
            <w:r w:rsidR="0086022F">
              <w:rPr>
                <w:rFonts w:cstheme="minorHAnsi"/>
                <w:sz w:val="24"/>
                <w:szCs w:val="24"/>
                <w:lang w:val="es-PA"/>
              </w:rPr>
              <w:t>45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días </w:t>
            </w:r>
            <w:r w:rsidR="0086022F">
              <w:rPr>
                <w:rFonts w:cstheme="minorHAnsi"/>
                <w:sz w:val="24"/>
                <w:szCs w:val="24"/>
                <w:lang w:val="es-PA"/>
              </w:rPr>
              <w:t xml:space="preserve">calendario </w:t>
            </w:r>
            <w:r>
              <w:rPr>
                <w:rFonts w:cstheme="minorHAnsi"/>
                <w:sz w:val="24"/>
                <w:szCs w:val="24"/>
                <w:lang w:val="es-PA"/>
              </w:rPr>
              <w:t>antes de la fecha del vencimiento de la certificación actual.</w:t>
            </w:r>
          </w:p>
          <w:p w14:paraId="7CA67932" w14:textId="610BEFE1" w:rsidR="003546A1" w:rsidRDefault="003546A1" w:rsidP="0007273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La 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a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Técnica </w:t>
            </w:r>
            <w:r w:rsidR="00BA16BB">
              <w:rPr>
                <w:rFonts w:cstheme="minorHAnsi"/>
                <w:sz w:val="24"/>
                <w:szCs w:val="24"/>
                <w:lang w:val="es-PA"/>
              </w:rPr>
              <w:t>recibe la solicitud e informa al presidente del CNBI para que sea incluida en la siguiente reunión ordinaria del CNBI.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21FE822D" w14:textId="17A6DC68" w:rsidR="00430A82" w:rsidRPr="00C32B7B" w:rsidRDefault="00430A82" w:rsidP="0007273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En la reunión ordinaria en que se discuta la solicitud, se designarán 3 miembros evaluadores del CNBI y se asigna la fecha de la visita, procurando que la misma sea antes de la fecha de vencimiento de la certificación actual.</w:t>
            </w:r>
          </w:p>
          <w:p w14:paraId="08E053C2" w14:textId="49292C06" w:rsidR="003546A1" w:rsidRDefault="003546A1" w:rsidP="0007273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Para evaluar y otorgar o denegar la recertificación de</w:t>
            </w:r>
            <w:r w:rsidR="00430A82">
              <w:rPr>
                <w:rFonts w:cstheme="minorHAnsi"/>
                <w:sz w:val="24"/>
                <w:szCs w:val="24"/>
                <w:lang w:val="es-PA"/>
              </w:rPr>
              <w:t xml:space="preserve"> un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Comité de Bioética se </w:t>
            </w:r>
            <w:r w:rsidR="002F0FA3">
              <w:rPr>
                <w:rFonts w:cstheme="minorHAnsi"/>
                <w:sz w:val="24"/>
                <w:szCs w:val="24"/>
                <w:lang w:val="es-PA"/>
              </w:rPr>
              <w:t xml:space="preserve">tomarán en cuenta los siguientes puntos: </w:t>
            </w:r>
          </w:p>
          <w:p w14:paraId="48D00EAF" w14:textId="44A6172D" w:rsidR="002F0FA3" w:rsidRPr="002F0FA3" w:rsidRDefault="002F0FA3" w:rsidP="004E436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b/>
                <w:bCs/>
                <w:sz w:val="24"/>
                <w:szCs w:val="24"/>
                <w:lang w:val="es-PA"/>
              </w:rPr>
              <w:t>Documentación General</w:t>
            </w:r>
            <w:r w:rsidR="002937CE">
              <w:rPr>
                <w:rFonts w:cstheme="minorHAnsi"/>
                <w:b/>
                <w:bCs/>
                <w:sz w:val="24"/>
                <w:szCs w:val="24"/>
                <w:lang w:val="es-PA"/>
              </w:rPr>
              <w:t xml:space="preserve"> </w:t>
            </w:r>
          </w:p>
          <w:p w14:paraId="32666967" w14:textId="743B906B" w:rsidR="002F0FA3" w:rsidRPr="002F0FA3" w:rsidRDefault="002F0FA3" w:rsidP="004E4361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Acta de constitución de Comité</w:t>
            </w:r>
            <w:r w:rsidR="002937CE">
              <w:rPr>
                <w:rFonts w:cstheme="minorHAnsi"/>
                <w:sz w:val="24"/>
                <w:szCs w:val="24"/>
                <w:lang w:val="es-PA"/>
              </w:rPr>
              <w:t xml:space="preserve"> y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certificaciones previas del CNBI.</w:t>
            </w:r>
          </w:p>
          <w:p w14:paraId="1DE66CFC" w14:textId="47639B5B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Declaración de adherencia a lineamientos y documentos internacionales que se adoptan como referencia para su trabajo (ICH-</w:t>
            </w:r>
            <w:proofErr w:type="spellStart"/>
            <w:r w:rsidRPr="002F0FA3">
              <w:rPr>
                <w:rFonts w:cstheme="minorHAnsi"/>
                <w:sz w:val="24"/>
                <w:szCs w:val="24"/>
                <w:lang w:val="es-PA"/>
              </w:rPr>
              <w:t>GCPs</w:t>
            </w:r>
            <w:proofErr w:type="spellEnd"/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, Declaración de Helsinki, </w:t>
            </w:r>
            <w:proofErr w:type="spellStart"/>
            <w:r w:rsidRPr="002F0FA3">
              <w:rPr>
                <w:rFonts w:cstheme="minorHAnsi"/>
                <w:sz w:val="24"/>
                <w:szCs w:val="24"/>
                <w:lang w:val="es-PA"/>
              </w:rPr>
              <w:t>etc</w:t>
            </w:r>
            <w:proofErr w:type="spellEnd"/>
            <w:r w:rsidRPr="002F0FA3">
              <w:rPr>
                <w:rFonts w:cstheme="minorHAnsi"/>
                <w:sz w:val="24"/>
                <w:szCs w:val="24"/>
                <w:lang w:val="es-PA"/>
              </w:rPr>
              <w:t>)</w:t>
            </w:r>
            <w:r w:rsidR="002937CE">
              <w:rPr>
                <w:rFonts w:cstheme="minorHAnsi"/>
                <w:sz w:val="24"/>
                <w:szCs w:val="24"/>
                <w:lang w:val="es-PA"/>
              </w:rPr>
              <w:t xml:space="preserve"> actualizados.</w:t>
            </w:r>
          </w:p>
          <w:p w14:paraId="2BEFCDD9" w14:textId="12954874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Reglamento del CBI</w:t>
            </w:r>
            <w:r w:rsidR="002937CE">
              <w:rPr>
                <w:rFonts w:cstheme="minorHAnsi"/>
                <w:sz w:val="24"/>
                <w:szCs w:val="24"/>
                <w:lang w:val="es-PA"/>
              </w:rPr>
              <w:t xml:space="preserve"> y modificaciones aprobadas al Reglamento (si aplica).</w:t>
            </w:r>
          </w:p>
          <w:p w14:paraId="29B8D08E" w14:textId="6D3F3805" w:rsid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Constancia de autorización de la Dirección de la institución a la que está adscrita el Comité.</w:t>
            </w:r>
          </w:p>
          <w:p w14:paraId="2D550A62" w14:textId="549B009B" w:rsidR="00FC7BB1" w:rsidRDefault="00FC7BB1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Actas de reuniones del CBI</w:t>
            </w:r>
            <w:r w:rsidR="00E41173">
              <w:rPr>
                <w:rFonts w:cstheme="minorHAnsi"/>
                <w:sz w:val="24"/>
                <w:szCs w:val="24"/>
                <w:lang w:val="es-PA"/>
              </w:rPr>
              <w:t xml:space="preserve"> firmadas</w:t>
            </w:r>
            <w:r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7B090515" w14:textId="6A1CA981" w:rsidR="00FC7BB1" w:rsidRPr="002F0FA3" w:rsidRDefault="00FC7BB1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Informes mensuales y anuales presentados al CNBI</w:t>
            </w:r>
            <w:r w:rsidR="00E41173">
              <w:rPr>
                <w:rFonts w:cstheme="minorHAnsi"/>
                <w:sz w:val="24"/>
                <w:szCs w:val="24"/>
                <w:lang w:val="es-PA"/>
              </w:rPr>
              <w:t xml:space="preserve"> en la plantilla correspondiente</w:t>
            </w:r>
            <w:r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32259F71" w14:textId="77777777" w:rsidR="002F0FA3" w:rsidRPr="002F0FA3" w:rsidRDefault="002F0FA3" w:rsidP="004E436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b/>
                <w:bCs/>
                <w:sz w:val="24"/>
                <w:szCs w:val="24"/>
                <w:lang w:val="es-PA"/>
              </w:rPr>
              <w:t>Procedimientos Operativos y formatos correspondientes a:</w:t>
            </w:r>
          </w:p>
          <w:p w14:paraId="6862934E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Presentación de protocolos y demás solicitudes (enmiendas, consentimiento informado, eventos adversos, etc.).</w:t>
            </w:r>
          </w:p>
          <w:p w14:paraId="28BA0EB3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Frecuencia de las reuniones del Comité.</w:t>
            </w:r>
          </w:p>
          <w:p w14:paraId="04D2AA12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Información de contacto.</w:t>
            </w:r>
          </w:p>
          <w:p w14:paraId="20D31B21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Tipos de respuestas, recursos frente a las mismas.</w:t>
            </w:r>
          </w:p>
          <w:p w14:paraId="5DC4895E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Documentación requerida del equipo de investigación.</w:t>
            </w:r>
          </w:p>
          <w:p w14:paraId="57D6C6D2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Notificación de eventos adversos serios locales.</w:t>
            </w:r>
          </w:p>
          <w:p w14:paraId="659640CD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Manejo de reportes de seguridad, eventos adversos serios extranjeros.</w:t>
            </w:r>
          </w:p>
          <w:p w14:paraId="5040E27F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Costos y procedimientos para revisión y evaluación (si aplica).</w:t>
            </w:r>
          </w:p>
          <w:p w14:paraId="643DFCCC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Evaluación de protocolos.</w:t>
            </w:r>
          </w:p>
          <w:p w14:paraId="39181612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Desarrollo de las reuniones del CBI.</w:t>
            </w:r>
          </w:p>
          <w:p w14:paraId="6C1382F5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Reportes de seguimientos de los protocolos por parte del investigador.</w:t>
            </w:r>
          </w:p>
          <w:p w14:paraId="4393E9B7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Reportes de seguimiento de los protocolos del CBI al CNBI.</w:t>
            </w:r>
          </w:p>
          <w:p w14:paraId="1C79DCF0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Manejo de archivos y registros, tiempo de conservación de documentos.</w:t>
            </w:r>
          </w:p>
          <w:p w14:paraId="0A1D934C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Calificación de Investigadores.</w:t>
            </w:r>
          </w:p>
          <w:p w14:paraId="2BA86F40" w14:textId="77777777" w:rsidR="002F0FA3" w:rsidRPr="002F0FA3" w:rsidRDefault="002F0FA3" w:rsidP="00126A44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Visitas a sitios.</w:t>
            </w:r>
          </w:p>
          <w:p w14:paraId="77C0BD44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lastRenderedPageBreak/>
              <w:t>Revisión de desviaciones y violaciones de protocolos.</w:t>
            </w:r>
          </w:p>
          <w:p w14:paraId="3829E3CC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Medidas de Control </w:t>
            </w:r>
          </w:p>
          <w:p w14:paraId="3A14D9F5" w14:textId="203F850F" w:rsidR="002F0FA3" w:rsidRPr="002F0FA3" w:rsidRDefault="002F0FA3" w:rsidP="002F0FA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b/>
                <w:bCs/>
                <w:sz w:val="24"/>
                <w:szCs w:val="24"/>
                <w:lang w:val="es-PA"/>
              </w:rPr>
              <w:t>Documentación específica de estudios revisados</w:t>
            </w:r>
          </w:p>
          <w:p w14:paraId="4CFA6578" w14:textId="1BDE6AFE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Proceso de revisión y aprobación de estudio </w:t>
            </w:r>
            <w:r w:rsidR="0086022F">
              <w:rPr>
                <w:rFonts w:cstheme="minorHAnsi"/>
                <w:sz w:val="24"/>
                <w:szCs w:val="24"/>
                <w:lang w:val="es-PA"/>
              </w:rPr>
              <w:t>de investigación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>, documentos revisados (paquete presentado por el sitio según requisitos del CBI), correspondencia, acta de reuniones, lista de verificación inicial de protocolos, lista de verificación de consentimiento informado (muestra mínima de 2 estudios)</w:t>
            </w:r>
          </w:p>
          <w:p w14:paraId="3D1381CA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Tiempo de aprobación de los estudios, desde que ingresa al CBI hasta que se emite una decisión. (muestra mínima de 2 estudios) </w:t>
            </w:r>
          </w:p>
          <w:p w14:paraId="3066EA04" w14:textId="1D2796E0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Informes de centros al CBI (muestra mínima: reportes de 2 estudios</w:t>
            </w:r>
            <w:r w:rsidR="00F445A2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todos los centros)</w:t>
            </w:r>
          </w:p>
          <w:p w14:paraId="772C67CD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Informes de visitas a centros (muestra mínima: 2 informes).</w:t>
            </w:r>
          </w:p>
          <w:p w14:paraId="7D972731" w14:textId="424168EA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Medidas de Control emitidas</w:t>
            </w:r>
            <w:r w:rsidR="00F445A2">
              <w:rPr>
                <w:rFonts w:cstheme="minorHAnsi"/>
                <w:sz w:val="24"/>
                <w:szCs w:val="24"/>
                <w:lang w:val="es-PA"/>
              </w:rPr>
              <w:t>, de acuerdo con lo establecido en la Ley 84 de 2019, artículo 43.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(</w:t>
            </w:r>
            <w:r w:rsidR="00F445A2"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>odas</w:t>
            </w:r>
            <w:r w:rsidR="00F445A2">
              <w:rPr>
                <w:rFonts w:cstheme="minorHAnsi"/>
                <w:sz w:val="24"/>
                <w:szCs w:val="24"/>
                <w:lang w:val="es-PA"/>
              </w:rPr>
              <w:t>, desde la última certificación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>).</w:t>
            </w:r>
          </w:p>
          <w:p w14:paraId="2AC78F98" w14:textId="736BA203" w:rsid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Informes de desviaciones y violaciones de protocolo</w:t>
            </w:r>
            <w:r w:rsidR="0003098E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de sitios a CBI (muestra mínima: 2 estudios).</w:t>
            </w:r>
          </w:p>
          <w:p w14:paraId="61C39D3C" w14:textId="6DC4B1F1" w:rsidR="0003098E" w:rsidRDefault="0003098E" w:rsidP="0003098E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Informes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de seguimiento de los protocolos por parte del investigador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al CBI (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>muestra mínima: 2 estudios).</w:t>
            </w:r>
          </w:p>
          <w:p w14:paraId="03333C4A" w14:textId="658E7B51" w:rsidR="0003098E" w:rsidRPr="0003098E" w:rsidRDefault="0003098E" w:rsidP="0003098E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Informes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PA"/>
              </w:rPr>
              <w:t>seguimiento del CBI a sitios de investigación. (</w:t>
            </w:r>
            <w:r w:rsidRPr="002F0FA3">
              <w:rPr>
                <w:rFonts w:cstheme="minorHAnsi"/>
                <w:sz w:val="24"/>
                <w:szCs w:val="24"/>
                <w:lang w:val="es-PA"/>
              </w:rPr>
              <w:t>muestra mínima: 2 estudios).</w:t>
            </w:r>
          </w:p>
          <w:p w14:paraId="44DC7962" w14:textId="77777777" w:rsidR="002F0FA3" w:rsidRPr="002F0FA3" w:rsidRDefault="002F0FA3" w:rsidP="002F0FA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b/>
                <w:bCs/>
                <w:sz w:val="24"/>
                <w:szCs w:val="24"/>
                <w:lang w:val="es-PA"/>
              </w:rPr>
              <w:t>Recursos Logísticos</w:t>
            </w:r>
          </w:p>
          <w:p w14:paraId="59298329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Sede del Comité con una dirección física fija para la recepción de la correspondencia.</w:t>
            </w:r>
          </w:p>
          <w:p w14:paraId="28999E94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proofErr w:type="gramStart"/>
            <w:r w:rsidRPr="002F0FA3">
              <w:rPr>
                <w:rFonts w:cstheme="minorHAnsi"/>
                <w:sz w:val="24"/>
                <w:szCs w:val="24"/>
                <w:lang w:val="es-PA"/>
              </w:rPr>
              <w:t>Link</w:t>
            </w:r>
            <w:proofErr w:type="gramEnd"/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 del Comité en la página institucional o página propia.</w:t>
            </w:r>
          </w:p>
          <w:p w14:paraId="28654FB6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Lugar fijo para reuniones.</w:t>
            </w:r>
          </w:p>
          <w:p w14:paraId="51AFB895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Sitio seguro y muebles adecuados para el archivo.</w:t>
            </w:r>
          </w:p>
          <w:p w14:paraId="5D490032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Disponibilidad de personal dedicado al apoyo administrativo y a ofrecer la información necesaria.</w:t>
            </w:r>
          </w:p>
          <w:p w14:paraId="549976B9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Tenencia de un mobiliario básico de oficina: escritorio, sillas, computador exclusivo para el trabajo del Comité, impresora, papelería membretada.</w:t>
            </w:r>
          </w:p>
          <w:p w14:paraId="1E6C7B04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Disponibilidad de una dirección institucional de correo electrónico.</w:t>
            </w:r>
          </w:p>
          <w:p w14:paraId="42B7F9D5" w14:textId="77777777" w:rsidR="002F0FA3" w:rsidRPr="002F0FA3" w:rsidRDefault="002F0FA3" w:rsidP="002F0FA3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Disponibilidad física y en formato virtual de los documentos normativos precisados en la declaración de adherencia.</w:t>
            </w:r>
          </w:p>
          <w:p w14:paraId="26F82EC1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Disponibilidad física y en formato virtual de los procedimientos y de los formatos aprobados por el Comité, para ser entregados a los interesados. </w:t>
            </w:r>
          </w:p>
          <w:p w14:paraId="3F40A99F" w14:textId="77777777" w:rsidR="00FC7BB1" w:rsidRPr="00301CA5" w:rsidRDefault="00FC7BB1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Contemplar la disponibilidad de alojamiento para la implementación de la Plataforma </w:t>
            </w:r>
            <w:proofErr w:type="spellStart"/>
            <w:r w:rsidRPr="00301CA5">
              <w:rPr>
                <w:rFonts w:cstheme="minorHAnsi"/>
                <w:sz w:val="24"/>
                <w:szCs w:val="24"/>
                <w:lang w:val="es-PA"/>
              </w:rPr>
              <w:t>ProEthos</w:t>
            </w:r>
            <w:proofErr w:type="spellEnd"/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 o plataforma de revisión aprobada por el CNBI. </w:t>
            </w:r>
          </w:p>
          <w:p w14:paraId="2EB7FBD3" w14:textId="77777777" w:rsidR="00FC7BB1" w:rsidRDefault="00FC7BB1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Contemplar la disponibilidad de un Servidor físico o virtual con una capacidad mínima de: 1 procesador, 200 Gigas de Disco Duro y 2 Gigas de RAM destinados para la plataforma. </w:t>
            </w:r>
          </w:p>
          <w:p w14:paraId="2A0E2FAC" w14:textId="77777777" w:rsidR="002F0FA3" w:rsidRPr="00FC7BB1" w:rsidRDefault="002F0FA3" w:rsidP="00FC7BB1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FC7BB1">
              <w:rPr>
                <w:rFonts w:cstheme="minorHAnsi"/>
                <w:b/>
                <w:bCs/>
                <w:sz w:val="24"/>
                <w:szCs w:val="24"/>
                <w:lang w:val="es-PA"/>
              </w:rPr>
              <w:t>Miembros del Comité</w:t>
            </w:r>
          </w:p>
          <w:p w14:paraId="77943585" w14:textId="77777777" w:rsidR="004E4361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Documento con la composición del Comité, el perfil de sus miembros, su función dentro del mismo y rotación de cargos. </w:t>
            </w:r>
          </w:p>
          <w:p w14:paraId="7D47A6F5" w14:textId="659E4436" w:rsidR="002F0FA3" w:rsidRPr="004E4361" w:rsidRDefault="004E4361" w:rsidP="004E436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Porcentaje de miembros externos de un 20%. </w:t>
            </w:r>
            <w:proofErr w:type="gramStart"/>
            <w:r w:rsidRPr="00301CA5">
              <w:rPr>
                <w:rFonts w:cstheme="minorHAnsi"/>
                <w:sz w:val="24"/>
                <w:szCs w:val="24"/>
                <w:lang w:val="es-PA"/>
              </w:rPr>
              <w:t>En caso que</w:t>
            </w:r>
            <w:proofErr w:type="gramEnd"/>
            <w:r w:rsidRPr="00301CA5">
              <w:rPr>
                <w:rFonts w:cstheme="minorHAnsi"/>
                <w:sz w:val="24"/>
                <w:szCs w:val="24"/>
                <w:lang w:val="es-PA"/>
              </w:rPr>
              <w:t xml:space="preserve"> el CBI tenga 9 o menos miembros, deben ser 2 miembros externos.  </w:t>
            </w:r>
          </w:p>
          <w:p w14:paraId="40DCFE2A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Carpeta con las hojas de vida de los miembros actualizadas (incluyendo a los suplentes).</w:t>
            </w:r>
          </w:p>
          <w:p w14:paraId="790F6027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Reglamento del CBI incluyendo el procedimiento de designación y el tiempo de permanencia.</w:t>
            </w:r>
          </w:p>
          <w:p w14:paraId="5DE8C2A2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Formato de declaración de conflicto de intereses respecto de determinados casos.</w:t>
            </w:r>
          </w:p>
          <w:p w14:paraId="457FB477" w14:textId="77777777" w:rsidR="002F0FA3" w:rsidRPr="00FC7BB1" w:rsidRDefault="002F0FA3" w:rsidP="00FC7BB1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FC7BB1">
              <w:rPr>
                <w:rFonts w:cstheme="minorHAnsi"/>
                <w:b/>
                <w:bCs/>
                <w:sz w:val="24"/>
                <w:szCs w:val="24"/>
                <w:lang w:val="es-PA"/>
              </w:rPr>
              <w:t xml:space="preserve">Capacitación </w:t>
            </w:r>
          </w:p>
          <w:p w14:paraId="4F3B1D7C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 xml:space="preserve">Certificados de capacitación básica de los miembros en </w:t>
            </w:r>
            <w:proofErr w:type="spellStart"/>
            <w:r w:rsidRPr="002F0FA3">
              <w:rPr>
                <w:rFonts w:cstheme="minorHAnsi"/>
                <w:sz w:val="24"/>
                <w:szCs w:val="24"/>
                <w:lang w:val="es-PA"/>
              </w:rPr>
              <w:t>BPCs</w:t>
            </w:r>
            <w:proofErr w:type="spellEnd"/>
            <w:r w:rsidRPr="002F0FA3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29E6F93C" w14:textId="77777777" w:rsidR="002F0FA3" w:rsidRPr="002F0FA3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Programa de capacitación permanente de los miembros del Comité.</w:t>
            </w:r>
          </w:p>
          <w:p w14:paraId="25B2338C" w14:textId="1CF44ED0" w:rsidR="002F0FA3" w:rsidRPr="00C32B7B" w:rsidRDefault="002F0FA3" w:rsidP="00FC7BB1">
            <w:pPr>
              <w:pStyle w:val="Prrafodelista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F0FA3">
              <w:rPr>
                <w:rFonts w:cstheme="minorHAnsi"/>
                <w:sz w:val="24"/>
                <w:szCs w:val="24"/>
                <w:lang w:val="es-PA"/>
              </w:rPr>
              <w:t>Programa de actividades específicas de capacitación.</w:t>
            </w:r>
          </w:p>
          <w:p w14:paraId="089D06A9" w14:textId="05F318C3" w:rsidR="000A7E9A" w:rsidRPr="000A7E9A" w:rsidRDefault="000A7E9A" w:rsidP="000A7E9A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Las visitas de recertificación de </w:t>
            </w:r>
            <w:proofErr w:type="spellStart"/>
            <w:r>
              <w:rPr>
                <w:rFonts w:cstheme="minorHAnsi"/>
                <w:sz w:val="24"/>
                <w:szCs w:val="24"/>
                <w:lang w:val="es-PA"/>
              </w:rPr>
              <w:t>CBIs</w:t>
            </w:r>
            <w:proofErr w:type="spellEnd"/>
            <w:r>
              <w:rPr>
                <w:rFonts w:cstheme="minorHAnsi"/>
                <w:sz w:val="24"/>
                <w:szCs w:val="24"/>
                <w:lang w:val="es-PA"/>
              </w:rPr>
              <w:t xml:space="preserve"> se podrán dar de la siguiente forma: Presencial y mixta.</w:t>
            </w:r>
            <w:r w:rsidRPr="000A7E9A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3006F58D" w14:textId="0943C9AF" w:rsidR="004E4361" w:rsidRDefault="00F61ADA" w:rsidP="00CC1B4D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t>En el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proceso de recertificación de los </w:t>
            </w:r>
            <w:proofErr w:type="spellStart"/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>CBIs</w:t>
            </w:r>
            <w:proofErr w:type="spellEnd"/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los miembros designados por el C</w:t>
            </w:r>
            <w:r w:rsidR="004E4361">
              <w:rPr>
                <w:rFonts w:cstheme="minorHAnsi"/>
                <w:sz w:val="24"/>
                <w:szCs w:val="24"/>
                <w:lang w:val="es-PA"/>
              </w:rPr>
              <w:t>NBI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se desplazarán a la sede del C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>BI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a</w:t>
            </w:r>
            <w:r w:rsidR="004E4361">
              <w:rPr>
                <w:rFonts w:cstheme="minorHAnsi"/>
                <w:sz w:val="24"/>
                <w:szCs w:val="24"/>
                <w:lang w:val="es-PA"/>
              </w:rPr>
              <w:t xml:space="preserve"> evaluar, para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 xml:space="preserve"> constatar que se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cumpl</w:t>
            </w:r>
            <w:r w:rsidR="004E4361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n con los requisitos de recertificación </w:t>
            </w:r>
            <w:r w:rsidR="004E4361">
              <w:rPr>
                <w:rFonts w:cstheme="minorHAnsi"/>
                <w:sz w:val="24"/>
                <w:szCs w:val="24"/>
                <w:lang w:val="es-PA"/>
              </w:rPr>
              <w:t>establecidos en el punto 4 de este procedimiento.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26857A7F" w14:textId="0E118208" w:rsidR="00D375D2" w:rsidRPr="00D375D2" w:rsidRDefault="004E4361" w:rsidP="00D375D2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En la visita de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recertificación presencial, deben estar presentes el presidente, secretario técnico y dos miembros activos. Cuando la visita sea 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>mixta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, deben estar presentes por lo menos el presidente o secretario técnico y deben conectarse dos miembros activos.  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>R</w:t>
            </w:r>
            <w:r w:rsidR="00D375D2" w:rsidRPr="00D375D2">
              <w:rPr>
                <w:rFonts w:cstheme="minorHAnsi"/>
                <w:sz w:val="24"/>
                <w:szCs w:val="24"/>
                <w:lang w:val="es-PA"/>
              </w:rPr>
              <w:t xml:space="preserve">equerirá la presencia, en la sede del CBI, de por lo menos un miembro del CNBI y se conectarán de forma remota los miembros que no se desplacen. </w:t>
            </w:r>
          </w:p>
          <w:p w14:paraId="56C99663" w14:textId="539A6540" w:rsidR="00B13905" w:rsidRPr="00213FED" w:rsidRDefault="00F61ADA" w:rsidP="00CC1B4D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La visita 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de recertificación podrá realizarse de forma 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>mixta</w:t>
            </w:r>
            <w:r w:rsidR="00A94EB6" w:rsidRPr="00213FE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 xml:space="preserve">siempre que el CBI </w:t>
            </w:r>
            <w:r w:rsidR="00086803" w:rsidRPr="00213FED">
              <w:rPr>
                <w:rFonts w:cstheme="minorHAnsi"/>
                <w:sz w:val="24"/>
                <w:szCs w:val="24"/>
                <w:lang w:val="es-PA"/>
              </w:rPr>
              <w:t>cuente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 xml:space="preserve"> con los </w:t>
            </w:r>
            <w:r w:rsidR="00B13905" w:rsidRPr="00213FED">
              <w:rPr>
                <w:rFonts w:cstheme="minorHAnsi"/>
                <w:sz w:val="24"/>
                <w:szCs w:val="24"/>
                <w:lang w:val="es-PA"/>
              </w:rPr>
              <w:t xml:space="preserve">siguientes </w:t>
            </w:r>
            <w:r w:rsidRPr="00213FED">
              <w:rPr>
                <w:rFonts w:cstheme="minorHAnsi"/>
                <w:sz w:val="24"/>
                <w:szCs w:val="24"/>
                <w:lang w:val="es-PA"/>
              </w:rPr>
              <w:t xml:space="preserve">medios </w:t>
            </w:r>
            <w:r w:rsidR="00806BE1" w:rsidRPr="00213FED">
              <w:rPr>
                <w:rFonts w:cstheme="minorHAnsi"/>
                <w:sz w:val="24"/>
                <w:szCs w:val="24"/>
                <w:lang w:val="es-PA"/>
              </w:rPr>
              <w:t>tecnológicos para que esta pueda ser efectuada</w:t>
            </w:r>
            <w:r w:rsidR="00B13905" w:rsidRPr="00213FED">
              <w:rPr>
                <w:rFonts w:cstheme="minorHAnsi"/>
                <w:sz w:val="24"/>
                <w:szCs w:val="24"/>
                <w:lang w:val="es-PA"/>
              </w:rPr>
              <w:t>:</w:t>
            </w:r>
          </w:p>
          <w:p w14:paraId="215DC6AF" w14:textId="07EE7238" w:rsidR="00B13905" w:rsidRDefault="00B13905" w:rsidP="00B13905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Conexión estable a internet. Preferiblemente conexión con cable de red. Se realizará una llamada de prueba para verificar que el CBI cumpla con los requisitos.</w:t>
            </w:r>
          </w:p>
          <w:p w14:paraId="6590F307" w14:textId="0F141DD7" w:rsidR="00B13905" w:rsidRPr="00B13905" w:rsidRDefault="00B13905" w:rsidP="00B13905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 C</w:t>
            </w:r>
            <w:r w:rsidRPr="00B13905">
              <w:rPr>
                <w:rFonts w:cstheme="minorHAnsi"/>
                <w:sz w:val="24"/>
                <w:szCs w:val="24"/>
                <w:lang w:val="es-PA"/>
              </w:rPr>
              <w:t>omputadora con cámara</w:t>
            </w:r>
            <w:r w:rsidR="00B82AEB">
              <w:rPr>
                <w:rFonts w:cstheme="minorHAnsi"/>
                <w:sz w:val="24"/>
                <w:szCs w:val="24"/>
                <w:lang w:val="es-PA"/>
              </w:rPr>
              <w:t xml:space="preserve"> o dispositivo con cámara, que permita el acceso a la plataforma utilizada para la visita. </w:t>
            </w:r>
          </w:p>
          <w:p w14:paraId="5460E3D4" w14:textId="5F943047" w:rsidR="00A47C0B" w:rsidRDefault="00A47C0B" w:rsidP="00A47C0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Aquellos Comités de Bioética que incumplan con alguno de los criterios evaluados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>, establecidos en este procedimiento,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se les podrá suspender la certificación u otorgar una certificación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lastRenderedPageBreak/>
              <w:t>condicionada que solamente le permitirá dar seguimiento a los estudios previamente aprobados. La certificación condicionada se dará por 3 meses, plazo en el que deberán cumplir con los criterios y recomendaciones realizadas por el CNBI.</w:t>
            </w:r>
          </w:p>
          <w:p w14:paraId="22BDF01D" w14:textId="19A2EF3A" w:rsidR="00430A82" w:rsidRPr="00D375D2" w:rsidRDefault="00430A82" w:rsidP="00D375D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Durante la reunión de revisión para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la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recertificación, se considerará el desempeño del Comité de Bioética, con base en los informes presentados, las actividades de inspección del CNBl para el Comité de Bioética en cuestión y sus resultados, otros relevantes sobre el desempeño del Comité de Bioética.</w:t>
            </w:r>
          </w:p>
          <w:p w14:paraId="3C501F86" w14:textId="5176C357" w:rsidR="0007273A" w:rsidRPr="005833CE" w:rsidRDefault="00A47C0B" w:rsidP="0007273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Se emitirá la certificación en PT-014 Certificación de Comité de Bioética. La vigencia de la certificación podrá ser de 6 meses hasta 3 años de acuerdo </w:t>
            </w:r>
            <w:r>
              <w:rPr>
                <w:rFonts w:cstheme="minorHAnsi"/>
                <w:sz w:val="24"/>
                <w:szCs w:val="24"/>
                <w:lang w:val="es-PA"/>
              </w:rPr>
              <w:t>con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criterio</w:t>
            </w:r>
            <w:r w:rsidR="00D375D2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del CNBI.</w:t>
            </w:r>
          </w:p>
          <w:p w14:paraId="50BE311F" w14:textId="77777777" w:rsidR="00724A2D" w:rsidRPr="00C32B7B" w:rsidRDefault="00724A2D" w:rsidP="003546A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92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14:paraId="665483CC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3512364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07035F54" w14:textId="77777777" w:rsidTr="00215110">
        <w:tc>
          <w:tcPr>
            <w:tcW w:w="10349" w:type="dxa"/>
            <w:shd w:val="pct5" w:color="auto" w:fill="auto"/>
          </w:tcPr>
          <w:p w14:paraId="6AC79DF3" w14:textId="77777777" w:rsidR="00471446" w:rsidRPr="00C32B7B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32B7B" w14:paraId="67E2F284" w14:textId="77777777" w:rsidTr="00215110">
        <w:tc>
          <w:tcPr>
            <w:tcW w:w="10349" w:type="dxa"/>
          </w:tcPr>
          <w:p w14:paraId="1399829B" w14:textId="77777777" w:rsidR="00084D47" w:rsidRPr="00C32B7B" w:rsidRDefault="00084D47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PT-014 Certificación de Comité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</w:p>
          <w:p w14:paraId="02126544" w14:textId="77777777" w:rsidR="007C5FE9" w:rsidRPr="00C32B7B" w:rsidRDefault="007C5FE9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</w:t>
            </w:r>
            <w:r w:rsidR="0034650F" w:rsidRPr="00C32B7B">
              <w:rPr>
                <w:rFonts w:cstheme="minorHAnsi"/>
                <w:sz w:val="24"/>
                <w:szCs w:val="24"/>
                <w:lang w:val="es-PA"/>
              </w:rPr>
              <w:t>0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15B Visita de recertificación</w:t>
            </w:r>
          </w:p>
          <w:p w14:paraId="7294D7E3" w14:textId="720FFBFC" w:rsidR="0086472A" w:rsidRDefault="0034650F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PT-016</w:t>
            </w:r>
            <w:r w:rsidR="005C595A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>Informe</w:t>
            </w:r>
            <w:r w:rsidR="005C595A">
              <w:rPr>
                <w:rFonts w:cstheme="minorHAnsi"/>
                <w:sz w:val="24"/>
                <w:szCs w:val="24"/>
                <w:lang w:val="es-PA"/>
              </w:rPr>
              <w:t xml:space="preserve"> Mensual de Actividades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Comités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a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084D47" w:rsidRPr="00C32B7B">
              <w:rPr>
                <w:rFonts w:cstheme="minorHAnsi"/>
                <w:sz w:val="24"/>
                <w:szCs w:val="24"/>
                <w:lang w:val="es-PA"/>
              </w:rPr>
              <w:t xml:space="preserve"> CN</w:t>
            </w:r>
            <w:r w:rsidR="00F255F7" w:rsidRPr="00C32B7B">
              <w:rPr>
                <w:rFonts w:cstheme="minorHAnsi"/>
                <w:sz w:val="24"/>
                <w:szCs w:val="24"/>
                <w:lang w:val="es-PA"/>
              </w:rPr>
              <w:t>BI.</w:t>
            </w:r>
          </w:p>
          <w:p w14:paraId="16C392C9" w14:textId="4071C22F" w:rsidR="005C6821" w:rsidRPr="00C32B7B" w:rsidRDefault="005C595A" w:rsidP="00C32B7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PT-016</w:t>
            </w:r>
            <w:r>
              <w:rPr>
                <w:rFonts w:cstheme="minorHAnsi"/>
                <w:sz w:val="24"/>
                <w:szCs w:val="24"/>
                <w:lang w:val="es-PA"/>
              </w:rPr>
              <w:t>B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Informe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Anual de Actividades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de Comités de Bioética al CNBI.</w:t>
            </w:r>
          </w:p>
        </w:tc>
      </w:tr>
    </w:tbl>
    <w:p w14:paraId="087EB1CE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F77D2CC" w14:textId="77777777" w:rsidR="001546EB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32B7B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C32B7B" w14:paraId="2791DF06" w14:textId="77777777" w:rsidTr="00C32B7B">
        <w:tc>
          <w:tcPr>
            <w:tcW w:w="10349" w:type="dxa"/>
            <w:shd w:val="clear" w:color="auto" w:fill="C2D69B" w:themeFill="accent3" w:themeFillTint="99"/>
            <w:vAlign w:val="center"/>
          </w:tcPr>
          <w:p w14:paraId="32DEC755" w14:textId="77777777" w:rsidR="001546EB" w:rsidRPr="00C32B7B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C32B7B" w14:paraId="15DBA3B8" w14:textId="77777777" w:rsidTr="00C32B7B">
        <w:tc>
          <w:tcPr>
            <w:tcW w:w="2987" w:type="dxa"/>
            <w:shd w:val="clear" w:color="auto" w:fill="C2D69B" w:themeFill="accent3" w:themeFillTint="99"/>
            <w:vAlign w:val="center"/>
          </w:tcPr>
          <w:p w14:paraId="2225A62C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1964BA48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84B1CE5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04A054A3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32B7B" w14:paraId="1AC20316" w14:textId="77777777" w:rsidTr="00215110">
        <w:tc>
          <w:tcPr>
            <w:tcW w:w="2987" w:type="dxa"/>
            <w:vAlign w:val="center"/>
          </w:tcPr>
          <w:p w14:paraId="26248DA8" w14:textId="7211DE45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35B2844" w14:textId="62FBD471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B24A86C" w14:textId="2C44B5B6" w:rsidR="00CA4235" w:rsidRPr="00C32B7B" w:rsidRDefault="00CA4235" w:rsidP="004E0B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85E0A69" w14:textId="47C35946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FD2B86" w14:textId="77777777" w:rsidR="00CA4235" w:rsidRPr="00C32B7B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E7B86ED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C32B7B" w14:paraId="735874EB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73F4045E" w14:textId="77777777" w:rsidR="001335DF" w:rsidRPr="00C32B7B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32B7B" w14:paraId="5D6996BC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238A556E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0CFC32C2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233EF21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2392BA45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6C88AA8" w14:textId="77777777" w:rsidR="00371690" w:rsidRPr="00C32B7B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7C1923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DD1FD8" w14:textId="77777777" w:rsidR="00A85348" w:rsidRPr="00C32B7B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vAlign w:val="center"/>
          </w:tcPr>
          <w:p w14:paraId="3B1B69ED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5BB7560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C32B7B" w14:paraId="67FD9596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4F00AD1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32B7B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32B7B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32B7B" w14:paraId="25A4B803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06607ED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EEF1F20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7689F5B9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1AB9CA77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B342408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5711AF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4E4B0D" w14:textId="77777777" w:rsidR="0060493A" w:rsidRPr="00C32B7B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C32B7B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2BA221D1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5F81E94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9901A2" w14:textId="77777777" w:rsidR="00CA4235" w:rsidRPr="00C32B7B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32B7B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5702" w14:textId="77777777" w:rsidR="00956DD8" w:rsidRDefault="00956DD8" w:rsidP="00CA4235">
      <w:pPr>
        <w:spacing w:after="0" w:line="240" w:lineRule="auto"/>
      </w:pPr>
      <w:r>
        <w:separator/>
      </w:r>
    </w:p>
  </w:endnote>
  <w:endnote w:type="continuationSeparator" w:id="0">
    <w:p w14:paraId="06654E14" w14:textId="77777777" w:rsidR="00956DD8" w:rsidRDefault="00956DD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1522" w14:textId="77777777" w:rsidR="00D15CD5" w:rsidRPr="001B57AF" w:rsidRDefault="00D15CD5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14:paraId="48EF9357" w14:textId="14B2D496" w:rsidR="00D15CD5" w:rsidRPr="001B57AF" w:rsidRDefault="00D15CD5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1B57AF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B82AEB" w:rsidRPr="00B82AEB">
      <w:rPr>
        <w:rFonts w:cs="Arial"/>
        <w:b/>
        <w:i/>
        <w:noProof/>
        <w:color w:val="000000" w:themeColor="text1"/>
        <w:sz w:val="16"/>
        <w:szCs w:val="16"/>
        <w:lang w:val="es-ES"/>
      </w:rPr>
      <w:t>5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end"/>
    </w: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B82AEB">
      <w:rPr>
        <w:rFonts w:cs="Arial"/>
        <w:b/>
        <w:i/>
        <w:noProof/>
        <w:color w:val="000000" w:themeColor="text1"/>
        <w:sz w:val="16"/>
        <w:szCs w:val="16"/>
        <w:lang w:val="es-ES"/>
      </w:rPr>
      <w:t>6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9F45037" w14:textId="77777777" w:rsidR="00D15CD5" w:rsidRPr="0060493A" w:rsidRDefault="00D15CD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71EC" w14:textId="77777777" w:rsidR="00956DD8" w:rsidRDefault="00956DD8" w:rsidP="00CA4235">
      <w:pPr>
        <w:spacing w:after="0" w:line="240" w:lineRule="auto"/>
      </w:pPr>
      <w:r>
        <w:separator/>
      </w:r>
    </w:p>
  </w:footnote>
  <w:footnote w:type="continuationSeparator" w:id="0">
    <w:p w14:paraId="588C997D" w14:textId="77777777" w:rsidR="00956DD8" w:rsidRDefault="00956DD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CF5A8F" w14:paraId="2EDCF9EE" w14:textId="77777777" w:rsidTr="0036336D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5069199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CAA79FD" wp14:editId="7316A44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0C59E6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5CE192B0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32B7B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54C54460" w14:textId="77777777" w:rsidR="00CF5A8F" w:rsidRPr="00C32B7B" w:rsidRDefault="00CF5A8F" w:rsidP="00CF5A8F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CF5A8F" w:rsidRPr="00E32C9A" w14:paraId="6D0C701D" w14:textId="77777777" w:rsidTr="00C32B7B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6E6CFE3E" w14:textId="3A08B09A" w:rsidR="00CF5A8F" w:rsidRPr="00E32C9A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E32C9A">
            <w:rPr>
              <w:rFonts w:cstheme="minorHAnsi"/>
              <w:b/>
              <w:sz w:val="24"/>
              <w:szCs w:val="24"/>
            </w:rPr>
            <w:t>Código: PO-00</w:t>
          </w:r>
          <w:r w:rsidR="005C6821">
            <w:rPr>
              <w:rFonts w:cstheme="minorHAnsi"/>
              <w:b/>
              <w:sz w:val="24"/>
              <w:szCs w:val="24"/>
            </w:rPr>
            <w:t>8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662881B" w14:textId="3516977A" w:rsidR="00CF5A8F" w:rsidRPr="00E32C9A" w:rsidRDefault="00CF5A8F" w:rsidP="00BF2066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E32C9A">
            <w:rPr>
              <w:rFonts w:cstheme="minorHAnsi"/>
              <w:b/>
              <w:sz w:val="24"/>
              <w:szCs w:val="24"/>
            </w:rPr>
            <w:t xml:space="preserve">Título: </w:t>
          </w:r>
          <w:r w:rsidR="003546A1">
            <w:rPr>
              <w:rFonts w:cstheme="minorHAnsi"/>
              <w:b/>
              <w:sz w:val="24"/>
              <w:szCs w:val="24"/>
            </w:rPr>
            <w:t>Rec</w:t>
          </w:r>
          <w:r w:rsidRPr="00E32C9A">
            <w:rPr>
              <w:rFonts w:cstheme="minorHAnsi"/>
              <w:b/>
              <w:sz w:val="24"/>
              <w:szCs w:val="24"/>
            </w:rPr>
            <w:t xml:space="preserve">ertificación de Comités de </w:t>
          </w:r>
          <w:r w:rsidR="00BF2066" w:rsidRPr="00E32C9A">
            <w:rPr>
              <w:rFonts w:cstheme="minorHAnsi"/>
              <w:b/>
              <w:sz w:val="24"/>
              <w:szCs w:val="24"/>
            </w:rPr>
            <w:t>Bioética</w:t>
          </w:r>
          <w:r w:rsidR="00B57405" w:rsidRPr="00E32C9A">
            <w:rPr>
              <w:rFonts w:cstheme="minorHAnsi"/>
              <w:b/>
              <w:sz w:val="24"/>
              <w:szCs w:val="24"/>
            </w:rPr>
            <w:t xml:space="preserve"> de la Investigación</w:t>
          </w:r>
        </w:p>
      </w:tc>
    </w:tr>
    <w:tr w:rsidR="00BF2066" w14:paraId="490C4CDB" w14:textId="77777777" w:rsidTr="004039F0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1135EF7D" w14:textId="2D95DA34" w:rsidR="00BF2066" w:rsidRPr="005C6821" w:rsidRDefault="00BF2066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5C6821">
            <w:rPr>
              <w:rFonts w:cstheme="minorHAnsi"/>
              <w:b/>
              <w:sz w:val="24"/>
              <w:szCs w:val="24"/>
            </w:rPr>
            <w:t xml:space="preserve">Versión: </w:t>
          </w:r>
          <w:r w:rsidR="0007273A" w:rsidRPr="005C6821">
            <w:rPr>
              <w:rFonts w:cstheme="minorHAnsi"/>
              <w:b/>
              <w:sz w:val="24"/>
              <w:szCs w:val="24"/>
            </w:rPr>
            <w:t>1.0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15810" w14:textId="67656215" w:rsidR="00BF2066" w:rsidRPr="005C6821" w:rsidRDefault="00BF2066" w:rsidP="00BF2066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5C6821">
            <w:rPr>
              <w:rFonts w:cstheme="minorHAnsi"/>
              <w:sz w:val="24"/>
              <w:szCs w:val="24"/>
            </w:rPr>
            <w:t xml:space="preserve">Fecha: </w:t>
          </w:r>
          <w:r w:rsidR="0086022F" w:rsidRPr="005C6821">
            <w:rPr>
              <w:rFonts w:cstheme="minorHAnsi"/>
              <w:sz w:val="24"/>
              <w:szCs w:val="24"/>
            </w:rPr>
            <w:t>26</w:t>
          </w:r>
          <w:r w:rsidR="0007273A" w:rsidRPr="005C6821">
            <w:rPr>
              <w:rFonts w:cstheme="minorHAnsi"/>
              <w:sz w:val="24"/>
              <w:szCs w:val="24"/>
            </w:rPr>
            <w:t xml:space="preserve"> de julio de</w:t>
          </w:r>
          <w:r w:rsidR="00B464FB" w:rsidRPr="005C6821">
            <w:rPr>
              <w:rFonts w:cstheme="minorHAnsi"/>
              <w:sz w:val="24"/>
              <w:szCs w:val="24"/>
            </w:rPr>
            <w:t xml:space="preserve"> 2022</w:t>
          </w:r>
        </w:p>
      </w:tc>
    </w:tr>
  </w:tbl>
  <w:p w14:paraId="77ED4EBD" w14:textId="77777777" w:rsidR="00CF5A8F" w:rsidRPr="00733B85" w:rsidRDefault="00CF5A8F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5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16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2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5198301">
    <w:abstractNumId w:val="2"/>
  </w:num>
  <w:num w:numId="2" w16cid:durableId="1446077461">
    <w:abstractNumId w:val="0"/>
  </w:num>
  <w:num w:numId="3" w16cid:durableId="682512915">
    <w:abstractNumId w:val="19"/>
  </w:num>
  <w:num w:numId="4" w16cid:durableId="1269507353">
    <w:abstractNumId w:val="5"/>
  </w:num>
  <w:num w:numId="5" w16cid:durableId="1764296143">
    <w:abstractNumId w:val="8"/>
  </w:num>
  <w:num w:numId="6" w16cid:durableId="1953397520">
    <w:abstractNumId w:val="20"/>
  </w:num>
  <w:num w:numId="7" w16cid:durableId="797643930">
    <w:abstractNumId w:val="13"/>
  </w:num>
  <w:num w:numId="8" w16cid:durableId="1031344800">
    <w:abstractNumId w:val="3"/>
  </w:num>
  <w:num w:numId="9" w16cid:durableId="1360549064">
    <w:abstractNumId w:val="7"/>
  </w:num>
  <w:num w:numId="10" w16cid:durableId="1249732456">
    <w:abstractNumId w:val="14"/>
  </w:num>
  <w:num w:numId="11" w16cid:durableId="1228110036">
    <w:abstractNumId w:val="17"/>
  </w:num>
  <w:num w:numId="12" w16cid:durableId="633484750">
    <w:abstractNumId w:val="16"/>
  </w:num>
  <w:num w:numId="13" w16cid:durableId="1469517743">
    <w:abstractNumId w:val="1"/>
  </w:num>
  <w:num w:numId="14" w16cid:durableId="1959097586">
    <w:abstractNumId w:val="15"/>
  </w:num>
  <w:num w:numId="15" w16cid:durableId="996374194">
    <w:abstractNumId w:val="18"/>
  </w:num>
  <w:num w:numId="16" w16cid:durableId="112407269">
    <w:abstractNumId w:val="9"/>
  </w:num>
  <w:num w:numId="17" w16cid:durableId="1684090632">
    <w:abstractNumId w:val="10"/>
  </w:num>
  <w:num w:numId="18" w16cid:durableId="1794597933">
    <w:abstractNumId w:val="12"/>
  </w:num>
  <w:num w:numId="19" w16cid:durableId="611858630">
    <w:abstractNumId w:val="4"/>
  </w:num>
  <w:num w:numId="20" w16cid:durableId="1166480321">
    <w:abstractNumId w:val="11"/>
  </w:num>
  <w:num w:numId="21" w16cid:durableId="900946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2699E"/>
    <w:rsid w:val="0003098E"/>
    <w:rsid w:val="0007273A"/>
    <w:rsid w:val="000848E8"/>
    <w:rsid w:val="00084D47"/>
    <w:rsid w:val="00086803"/>
    <w:rsid w:val="000A7E9A"/>
    <w:rsid w:val="000D10DC"/>
    <w:rsid w:val="000E1A88"/>
    <w:rsid w:val="000E7608"/>
    <w:rsid w:val="001128F3"/>
    <w:rsid w:val="00121ED0"/>
    <w:rsid w:val="00126A44"/>
    <w:rsid w:val="001335DF"/>
    <w:rsid w:val="00135ACE"/>
    <w:rsid w:val="001546EB"/>
    <w:rsid w:val="0015538D"/>
    <w:rsid w:val="001773C1"/>
    <w:rsid w:val="00185E77"/>
    <w:rsid w:val="0019750B"/>
    <w:rsid w:val="001A1F3B"/>
    <w:rsid w:val="001A66B2"/>
    <w:rsid w:val="001B00A7"/>
    <w:rsid w:val="001B0482"/>
    <w:rsid w:val="001B57AF"/>
    <w:rsid w:val="001B7362"/>
    <w:rsid w:val="001C1173"/>
    <w:rsid w:val="001E4998"/>
    <w:rsid w:val="001E7FE2"/>
    <w:rsid w:val="001F65FC"/>
    <w:rsid w:val="00212B78"/>
    <w:rsid w:val="00213FED"/>
    <w:rsid w:val="00215110"/>
    <w:rsid w:val="002425F0"/>
    <w:rsid w:val="002937CE"/>
    <w:rsid w:val="002964E6"/>
    <w:rsid w:val="002A2AC2"/>
    <w:rsid w:val="002D0A75"/>
    <w:rsid w:val="002E2A99"/>
    <w:rsid w:val="002F0FA3"/>
    <w:rsid w:val="00300848"/>
    <w:rsid w:val="00305203"/>
    <w:rsid w:val="003463A5"/>
    <w:rsid w:val="0034650F"/>
    <w:rsid w:val="00350EC3"/>
    <w:rsid w:val="003546A1"/>
    <w:rsid w:val="00371690"/>
    <w:rsid w:val="003800B6"/>
    <w:rsid w:val="00392596"/>
    <w:rsid w:val="003A1593"/>
    <w:rsid w:val="003B06DE"/>
    <w:rsid w:val="003B2AC9"/>
    <w:rsid w:val="003D307F"/>
    <w:rsid w:val="003D352A"/>
    <w:rsid w:val="003D630E"/>
    <w:rsid w:val="003F5189"/>
    <w:rsid w:val="004039F0"/>
    <w:rsid w:val="00430A82"/>
    <w:rsid w:val="0043378B"/>
    <w:rsid w:val="00461CD5"/>
    <w:rsid w:val="00471446"/>
    <w:rsid w:val="00493526"/>
    <w:rsid w:val="004C6C63"/>
    <w:rsid w:val="004D2476"/>
    <w:rsid w:val="004E0B44"/>
    <w:rsid w:val="004E4361"/>
    <w:rsid w:val="005423B6"/>
    <w:rsid w:val="00566CF5"/>
    <w:rsid w:val="005833CE"/>
    <w:rsid w:val="005C595A"/>
    <w:rsid w:val="005C6821"/>
    <w:rsid w:val="005D4FF1"/>
    <w:rsid w:val="005E0E89"/>
    <w:rsid w:val="005F2A9D"/>
    <w:rsid w:val="0060493A"/>
    <w:rsid w:val="00630511"/>
    <w:rsid w:val="00634913"/>
    <w:rsid w:val="00652244"/>
    <w:rsid w:val="006614A0"/>
    <w:rsid w:val="00667F03"/>
    <w:rsid w:val="0067748A"/>
    <w:rsid w:val="00684079"/>
    <w:rsid w:val="006A320E"/>
    <w:rsid w:val="006C28A5"/>
    <w:rsid w:val="006D325A"/>
    <w:rsid w:val="006E0C62"/>
    <w:rsid w:val="006E5F91"/>
    <w:rsid w:val="00711B42"/>
    <w:rsid w:val="00724A2D"/>
    <w:rsid w:val="00733B85"/>
    <w:rsid w:val="00745056"/>
    <w:rsid w:val="007606A4"/>
    <w:rsid w:val="00770571"/>
    <w:rsid w:val="00781A7C"/>
    <w:rsid w:val="007C4242"/>
    <w:rsid w:val="007C4E3C"/>
    <w:rsid w:val="007C5FE9"/>
    <w:rsid w:val="007D04B4"/>
    <w:rsid w:val="007D1869"/>
    <w:rsid w:val="007E4FD1"/>
    <w:rsid w:val="007F587D"/>
    <w:rsid w:val="0080399C"/>
    <w:rsid w:val="00806BE1"/>
    <w:rsid w:val="00816B31"/>
    <w:rsid w:val="00831C12"/>
    <w:rsid w:val="008341C7"/>
    <w:rsid w:val="008359AF"/>
    <w:rsid w:val="00841BE7"/>
    <w:rsid w:val="0085162E"/>
    <w:rsid w:val="00854DFE"/>
    <w:rsid w:val="0086022F"/>
    <w:rsid w:val="0086472A"/>
    <w:rsid w:val="00893667"/>
    <w:rsid w:val="0089761D"/>
    <w:rsid w:val="008A2FDD"/>
    <w:rsid w:val="008B48C4"/>
    <w:rsid w:val="008B5F5C"/>
    <w:rsid w:val="008C7502"/>
    <w:rsid w:val="008D359E"/>
    <w:rsid w:val="008E0BE5"/>
    <w:rsid w:val="00900318"/>
    <w:rsid w:val="009138D9"/>
    <w:rsid w:val="00933339"/>
    <w:rsid w:val="00956616"/>
    <w:rsid w:val="00956DD8"/>
    <w:rsid w:val="009A66D2"/>
    <w:rsid w:val="009B0050"/>
    <w:rsid w:val="009F4FDF"/>
    <w:rsid w:val="00A15235"/>
    <w:rsid w:val="00A21423"/>
    <w:rsid w:val="00A32302"/>
    <w:rsid w:val="00A34C08"/>
    <w:rsid w:val="00A34C4C"/>
    <w:rsid w:val="00A471ED"/>
    <w:rsid w:val="00A47C0B"/>
    <w:rsid w:val="00A50603"/>
    <w:rsid w:val="00A55177"/>
    <w:rsid w:val="00A67D93"/>
    <w:rsid w:val="00A76EE3"/>
    <w:rsid w:val="00A85348"/>
    <w:rsid w:val="00A94EB6"/>
    <w:rsid w:val="00AD00DF"/>
    <w:rsid w:val="00AE3178"/>
    <w:rsid w:val="00AE7DB0"/>
    <w:rsid w:val="00B100BA"/>
    <w:rsid w:val="00B113FC"/>
    <w:rsid w:val="00B13905"/>
    <w:rsid w:val="00B30A7E"/>
    <w:rsid w:val="00B464FB"/>
    <w:rsid w:val="00B5182B"/>
    <w:rsid w:val="00B57405"/>
    <w:rsid w:val="00B57BA6"/>
    <w:rsid w:val="00B82AEB"/>
    <w:rsid w:val="00BA119E"/>
    <w:rsid w:val="00BA16BB"/>
    <w:rsid w:val="00BB2875"/>
    <w:rsid w:val="00BD5406"/>
    <w:rsid w:val="00BE6E67"/>
    <w:rsid w:val="00BE7A3E"/>
    <w:rsid w:val="00BF0AE9"/>
    <w:rsid w:val="00BF2066"/>
    <w:rsid w:val="00C14973"/>
    <w:rsid w:val="00C15BD9"/>
    <w:rsid w:val="00C32B7B"/>
    <w:rsid w:val="00C53323"/>
    <w:rsid w:val="00C62809"/>
    <w:rsid w:val="00C759C3"/>
    <w:rsid w:val="00CA4235"/>
    <w:rsid w:val="00CC1B4D"/>
    <w:rsid w:val="00CF5A8F"/>
    <w:rsid w:val="00D01BE0"/>
    <w:rsid w:val="00D15CD5"/>
    <w:rsid w:val="00D24830"/>
    <w:rsid w:val="00D262B3"/>
    <w:rsid w:val="00D263A3"/>
    <w:rsid w:val="00D32227"/>
    <w:rsid w:val="00D3621B"/>
    <w:rsid w:val="00D375D2"/>
    <w:rsid w:val="00DA2677"/>
    <w:rsid w:val="00E179DF"/>
    <w:rsid w:val="00E32C9A"/>
    <w:rsid w:val="00E37F7C"/>
    <w:rsid w:val="00E41173"/>
    <w:rsid w:val="00E53B51"/>
    <w:rsid w:val="00E577F6"/>
    <w:rsid w:val="00E959C5"/>
    <w:rsid w:val="00EA2A08"/>
    <w:rsid w:val="00EB14F9"/>
    <w:rsid w:val="00EC2A4E"/>
    <w:rsid w:val="00EC6A38"/>
    <w:rsid w:val="00EC7E26"/>
    <w:rsid w:val="00EF1BF8"/>
    <w:rsid w:val="00F255F7"/>
    <w:rsid w:val="00F32772"/>
    <w:rsid w:val="00F3457C"/>
    <w:rsid w:val="00F364D9"/>
    <w:rsid w:val="00F37C5E"/>
    <w:rsid w:val="00F445A2"/>
    <w:rsid w:val="00F52203"/>
    <w:rsid w:val="00F61ADA"/>
    <w:rsid w:val="00F64B2A"/>
    <w:rsid w:val="00F70234"/>
    <w:rsid w:val="00F751C9"/>
    <w:rsid w:val="00F86FF9"/>
    <w:rsid w:val="00F878D5"/>
    <w:rsid w:val="00FA1BB3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73A6F8B"/>
  <w15:docId w15:val="{3CE86E19-7697-4520-BA43-2EA6F04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EB23-50B3-47F4-B0C0-CF085F3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Tuñón;Ana Sanchez Urrutia</dc:creator>
  <cp:lastModifiedBy>Magalys Quintana Tuñon</cp:lastModifiedBy>
  <cp:revision>2</cp:revision>
  <cp:lastPrinted>2017-03-10T19:32:00Z</cp:lastPrinted>
  <dcterms:created xsi:type="dcterms:W3CDTF">2022-11-24T20:01:00Z</dcterms:created>
  <dcterms:modified xsi:type="dcterms:W3CDTF">2022-11-24T20:01:00Z</dcterms:modified>
</cp:coreProperties>
</file>