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4E0F" w:rsidRPr="00414E0F" w14:paraId="2889A9DA" w14:textId="77777777" w:rsidTr="00EB7BC7">
        <w:tc>
          <w:tcPr>
            <w:tcW w:w="8978" w:type="dxa"/>
            <w:shd w:val="clear" w:color="auto" w:fill="C2D69B" w:themeFill="accent3" w:themeFillTint="99"/>
          </w:tcPr>
          <w:p w14:paraId="58FE22CB" w14:textId="77777777" w:rsidR="00471446" w:rsidRPr="00414E0F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4E0F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14E0F" w:rsidRPr="007D7001" w14:paraId="474D42AB" w14:textId="77777777" w:rsidTr="00DF764A">
        <w:tc>
          <w:tcPr>
            <w:tcW w:w="8978" w:type="dxa"/>
            <w:tcBorders>
              <w:bottom w:val="dotted" w:sz="4" w:space="0" w:color="auto"/>
            </w:tcBorders>
          </w:tcPr>
          <w:p w14:paraId="58D01A58" w14:textId="2FF0946B" w:rsidR="00E12D33" w:rsidRPr="007D7001" w:rsidRDefault="00E12D33" w:rsidP="00E12D33">
            <w:p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 xml:space="preserve">El propósito de este procedimiento operativo estándar es documentar el proceso de evaluación </w:t>
            </w:r>
            <w:r w:rsidR="00FD15E3" w:rsidRPr="007D7001">
              <w:rPr>
                <w:rFonts w:cstheme="minorHAnsi"/>
              </w:rPr>
              <w:t xml:space="preserve">especial </w:t>
            </w:r>
            <w:r w:rsidRPr="007D7001">
              <w:rPr>
                <w:rFonts w:cstheme="minorHAnsi"/>
              </w:rPr>
              <w:t xml:space="preserve">de un proyecto de investigación </w:t>
            </w:r>
            <w:r w:rsidR="00702EF0" w:rsidRPr="007D7001">
              <w:rPr>
                <w:rFonts w:cstheme="minorHAnsi"/>
              </w:rPr>
              <w:t xml:space="preserve">que deba ser revisado </w:t>
            </w:r>
            <w:r w:rsidRPr="007D7001">
              <w:rPr>
                <w:rFonts w:cstheme="minorHAnsi"/>
              </w:rPr>
              <w:t xml:space="preserve">por </w:t>
            </w:r>
            <w:r w:rsidR="00673F79" w:rsidRPr="007D7001">
              <w:rPr>
                <w:rFonts w:cstheme="minorHAnsi"/>
              </w:rPr>
              <w:t>el CNBI</w:t>
            </w:r>
            <w:r w:rsidR="004E3595" w:rsidRPr="007D7001">
              <w:rPr>
                <w:rFonts w:cstheme="minorHAnsi"/>
              </w:rPr>
              <w:t xml:space="preserve"> en caso</w:t>
            </w:r>
            <w:r w:rsidR="00702EF0" w:rsidRPr="007D7001">
              <w:rPr>
                <w:rFonts w:cstheme="minorHAnsi"/>
              </w:rPr>
              <w:t>s</w:t>
            </w:r>
            <w:r w:rsidR="004E3595" w:rsidRPr="007D7001">
              <w:rPr>
                <w:rFonts w:cstheme="minorHAnsi"/>
              </w:rPr>
              <w:t xml:space="preserve"> de </w:t>
            </w:r>
            <w:r w:rsidR="00673F79" w:rsidRPr="007D7001">
              <w:rPr>
                <w:rFonts w:cstheme="minorHAnsi"/>
              </w:rPr>
              <w:t xml:space="preserve">emergencias sanitarias, </w:t>
            </w:r>
            <w:r w:rsidR="004E3595" w:rsidRPr="007D7001">
              <w:rPr>
                <w:rFonts w:cstheme="minorHAnsi"/>
              </w:rPr>
              <w:t>desastres y brotes de enfermedades</w:t>
            </w:r>
            <w:r w:rsidRPr="007D7001">
              <w:rPr>
                <w:rFonts w:cstheme="minorHAnsi"/>
              </w:rPr>
              <w:t>.</w:t>
            </w:r>
          </w:p>
          <w:p w14:paraId="4445DD72" w14:textId="58C6AC62" w:rsidR="00471446" w:rsidRPr="007D7001" w:rsidRDefault="00AD33B4" w:rsidP="00FD5719">
            <w:p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 xml:space="preserve"> </w:t>
            </w:r>
          </w:p>
        </w:tc>
      </w:tr>
      <w:tr w:rsidR="00414E0F" w:rsidRPr="007D7001" w14:paraId="71B833B5" w14:textId="77777777" w:rsidTr="00DF764A">
        <w:tc>
          <w:tcPr>
            <w:tcW w:w="8978" w:type="dxa"/>
            <w:tcBorders>
              <w:bottom w:val="nil"/>
            </w:tcBorders>
            <w:shd w:val="clear" w:color="auto" w:fill="C2D69B" w:themeFill="accent3" w:themeFillTint="99"/>
          </w:tcPr>
          <w:p w14:paraId="7A03754E" w14:textId="77777777" w:rsidR="00471446" w:rsidRPr="007D7001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7001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7D7001" w14:paraId="41F65321" w14:textId="77777777" w:rsidTr="00DF764A">
        <w:tc>
          <w:tcPr>
            <w:tcW w:w="8978" w:type="dxa"/>
            <w:tcBorders>
              <w:top w:val="nil"/>
            </w:tcBorders>
          </w:tcPr>
          <w:p w14:paraId="65839497" w14:textId="17CE6DCC" w:rsidR="00E12D33" w:rsidRPr="007D7001" w:rsidRDefault="00D803ED" w:rsidP="00E12D33">
            <w:pPr>
              <w:tabs>
                <w:tab w:val="left" w:pos="2550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ab/>
            </w:r>
          </w:p>
          <w:p w14:paraId="240CC30D" w14:textId="7C221E75" w:rsidR="00E12D33" w:rsidRPr="007D7001" w:rsidRDefault="0075716D" w:rsidP="00E12D33">
            <w:p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 xml:space="preserve">Sometimiento de protocolos de investigación en caso de </w:t>
            </w:r>
            <w:r w:rsidR="00702EF0" w:rsidRPr="007D7001">
              <w:rPr>
                <w:rFonts w:cstheme="minorHAnsi"/>
              </w:rPr>
              <w:t xml:space="preserve">emergencias sanitarias, </w:t>
            </w:r>
            <w:r w:rsidRPr="007D7001">
              <w:rPr>
                <w:rFonts w:cstheme="minorHAnsi"/>
              </w:rPr>
              <w:t>desastres y brotes de enfermedades. (Pauta 20 CIOMS)</w:t>
            </w:r>
          </w:p>
          <w:p w14:paraId="42A4A90E" w14:textId="5F15E1C8" w:rsidR="00D803ED" w:rsidRPr="007D7001" w:rsidRDefault="00D803ED" w:rsidP="00D803ED">
            <w:pPr>
              <w:tabs>
                <w:tab w:val="left" w:pos="2550"/>
              </w:tabs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1DFF90C" w14:textId="77777777" w:rsidR="00471446" w:rsidRPr="007D7001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86215F5" w14:textId="77777777" w:rsidR="00A85348" w:rsidRPr="007D7001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086"/>
      </w:tblGrid>
      <w:tr w:rsidR="00414E0F" w:rsidRPr="007D7001" w14:paraId="1BBC9A93" w14:textId="77777777" w:rsidTr="00E12D33">
        <w:tc>
          <w:tcPr>
            <w:tcW w:w="8828" w:type="dxa"/>
            <w:gridSpan w:val="2"/>
            <w:shd w:val="clear" w:color="auto" w:fill="C2D69B" w:themeFill="accent3" w:themeFillTint="99"/>
          </w:tcPr>
          <w:p w14:paraId="55F10E40" w14:textId="77777777" w:rsidR="00471446" w:rsidRPr="007D7001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7001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14E0F" w:rsidRPr="007D7001" w14:paraId="221F6B7A" w14:textId="77777777" w:rsidTr="00E12D33">
        <w:tc>
          <w:tcPr>
            <w:tcW w:w="2742" w:type="dxa"/>
          </w:tcPr>
          <w:p w14:paraId="39AFAADE" w14:textId="6893DE86" w:rsidR="00E12D33" w:rsidRPr="007D7001" w:rsidRDefault="00E12D33" w:rsidP="007D7001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 xml:space="preserve">Revisión </w:t>
            </w:r>
            <w:r w:rsidR="00FD15E3" w:rsidRPr="007D7001">
              <w:rPr>
                <w:rFonts w:cstheme="minorHAnsi"/>
                <w:i/>
                <w:sz w:val="24"/>
                <w:szCs w:val="24"/>
              </w:rPr>
              <w:t>Especial</w:t>
            </w:r>
          </w:p>
        </w:tc>
        <w:tc>
          <w:tcPr>
            <w:tcW w:w="6086" w:type="dxa"/>
          </w:tcPr>
          <w:p w14:paraId="712ABFE6" w14:textId="0CE6DE4C" w:rsidR="00E12D33" w:rsidRPr="007D7001" w:rsidRDefault="00E12D33" w:rsidP="0075716D">
            <w:p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 xml:space="preserve">La evaluación </w:t>
            </w:r>
            <w:r w:rsidR="00FD15E3" w:rsidRPr="007D7001">
              <w:rPr>
                <w:rFonts w:cstheme="minorHAnsi"/>
              </w:rPr>
              <w:t xml:space="preserve">especial </w:t>
            </w:r>
            <w:r w:rsidRPr="007D7001">
              <w:rPr>
                <w:rFonts w:cstheme="minorHAnsi"/>
              </w:rPr>
              <w:t xml:space="preserve">se refiere a la duración en tiempo de la evaluación </w:t>
            </w:r>
            <w:r w:rsidR="0075716D" w:rsidRPr="007D7001">
              <w:rPr>
                <w:rFonts w:cstheme="minorHAnsi"/>
              </w:rPr>
              <w:t xml:space="preserve">en caso de </w:t>
            </w:r>
            <w:r w:rsidR="00673F79" w:rsidRPr="007D7001">
              <w:rPr>
                <w:rFonts w:cstheme="minorHAnsi"/>
              </w:rPr>
              <w:t xml:space="preserve">emergencias sanitarias, </w:t>
            </w:r>
            <w:r w:rsidR="0075716D" w:rsidRPr="007D7001">
              <w:rPr>
                <w:rFonts w:cstheme="minorHAnsi"/>
              </w:rPr>
              <w:t>desastres y brotes de enfermedades, en ningún caso la celeridad debe afectar la metodología</w:t>
            </w:r>
            <w:r w:rsidR="00225FA7" w:rsidRPr="007D7001">
              <w:rPr>
                <w:rFonts w:cstheme="minorHAnsi"/>
              </w:rPr>
              <w:t xml:space="preserve"> y</w:t>
            </w:r>
            <w:r w:rsidR="0075716D" w:rsidRPr="007D7001">
              <w:rPr>
                <w:rFonts w:cstheme="minorHAnsi"/>
              </w:rPr>
              <w:t xml:space="preserve"> validez científica de la investigación</w:t>
            </w:r>
            <w:r w:rsidR="00225FA7" w:rsidRPr="007D7001">
              <w:rPr>
                <w:rFonts w:cstheme="minorHAnsi"/>
              </w:rPr>
              <w:t>, valor social y</w:t>
            </w:r>
            <w:r w:rsidR="008C267E" w:rsidRPr="007D7001">
              <w:rPr>
                <w:rFonts w:cstheme="minorHAnsi"/>
              </w:rPr>
              <w:t xml:space="preserve"> respeto a los derechos de los participantes de la investigación</w:t>
            </w:r>
            <w:r w:rsidR="0075716D" w:rsidRPr="007D7001">
              <w:rPr>
                <w:rFonts w:cstheme="minorHAnsi"/>
              </w:rPr>
              <w:t xml:space="preserve"> y debe responder a las necesidades de salud o </w:t>
            </w:r>
            <w:r w:rsidR="00B01FD8" w:rsidRPr="007D7001">
              <w:rPr>
                <w:rFonts w:cstheme="minorHAnsi"/>
              </w:rPr>
              <w:t xml:space="preserve"> a </w:t>
            </w:r>
            <w:r w:rsidR="0075716D" w:rsidRPr="007D7001">
              <w:rPr>
                <w:rFonts w:cstheme="minorHAnsi"/>
              </w:rPr>
              <w:t>las prioridades de las víctimas del desast</w:t>
            </w:r>
            <w:r w:rsidR="008C267E" w:rsidRPr="007D7001">
              <w:rPr>
                <w:rFonts w:cstheme="minorHAnsi"/>
              </w:rPr>
              <w:t>re y las comunidades afectadas;</w:t>
            </w:r>
            <w:r w:rsidR="0075716D" w:rsidRPr="007D7001">
              <w:rPr>
                <w:rFonts w:cstheme="minorHAnsi"/>
              </w:rPr>
              <w:t xml:space="preserve"> no puede realizarse fuera de una situación de desastr</w:t>
            </w:r>
            <w:r w:rsidR="00673F79" w:rsidRPr="007D7001">
              <w:rPr>
                <w:rFonts w:cstheme="minorHAnsi"/>
              </w:rPr>
              <w:t>e</w:t>
            </w:r>
            <w:r w:rsidR="00702EF0" w:rsidRPr="007D7001">
              <w:rPr>
                <w:rFonts w:cstheme="minorHAnsi"/>
              </w:rPr>
              <w:t>.</w:t>
            </w:r>
          </w:p>
          <w:p w14:paraId="233ACEE2" w14:textId="77777777" w:rsidR="00E12D33" w:rsidRPr="007D7001" w:rsidRDefault="00E12D33" w:rsidP="00E12D33">
            <w:pPr>
              <w:jc w:val="both"/>
              <w:rPr>
                <w:rFonts w:eastAsia="Times New Roman" w:cstheme="minorHAnsi"/>
              </w:rPr>
            </w:pPr>
          </w:p>
        </w:tc>
      </w:tr>
      <w:tr w:rsidR="00414E0F" w:rsidRPr="007D7001" w14:paraId="24B55763" w14:textId="77777777" w:rsidTr="00E12D33">
        <w:tc>
          <w:tcPr>
            <w:tcW w:w="2742" w:type="dxa"/>
          </w:tcPr>
          <w:p w14:paraId="134CEF5B" w14:textId="15A896C8" w:rsidR="00E12D33" w:rsidRPr="007D7001" w:rsidRDefault="00E12D33" w:rsidP="00471446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 xml:space="preserve">Consentimiento Informado </w:t>
            </w:r>
          </w:p>
        </w:tc>
        <w:tc>
          <w:tcPr>
            <w:tcW w:w="6086" w:type="dxa"/>
          </w:tcPr>
          <w:p w14:paraId="59CE54FD" w14:textId="4806F1DD" w:rsidR="0075716D" w:rsidRPr="007D7001" w:rsidRDefault="0075716D" w:rsidP="0075716D">
            <w:pPr>
              <w:jc w:val="both"/>
              <w:rPr>
                <w:rFonts w:cstheme="minorHAnsi"/>
                <w:b/>
                <w:i/>
              </w:rPr>
            </w:pPr>
            <w:r w:rsidRPr="007D7001">
              <w:rPr>
                <w:rStyle w:val="hps"/>
                <w:rFonts w:eastAsia="Times New Roman" w:cstheme="minorHAnsi"/>
                <w:lang w:val="es-ES"/>
              </w:rPr>
              <w:t xml:space="preserve">Se aplican los </w:t>
            </w:r>
            <w:r w:rsidR="00E12D33" w:rsidRPr="007D7001">
              <w:rPr>
                <w:rStyle w:val="hps"/>
                <w:rFonts w:eastAsia="Times New Roman" w:cstheme="minorHAnsi"/>
                <w:lang w:val="es-ES"/>
              </w:rPr>
              <w:t xml:space="preserve">requisitos </w:t>
            </w:r>
            <w:r w:rsidR="007D53BA" w:rsidRPr="007D7001">
              <w:rPr>
                <w:rFonts w:eastAsia="Times New Roman" w:cstheme="minorHAnsi"/>
                <w:lang w:val="es-ES"/>
              </w:rPr>
              <w:t>estandarizados</w:t>
            </w:r>
            <w:r w:rsidR="00E12D33" w:rsidRPr="007D7001">
              <w:rPr>
                <w:rFonts w:eastAsia="Times New Roman" w:cstheme="minorHAnsi"/>
                <w:lang w:val="es-ES"/>
              </w:rPr>
              <w:t xml:space="preserve"> </w:t>
            </w:r>
            <w:r w:rsidR="00E12D33" w:rsidRPr="007D7001">
              <w:rPr>
                <w:rStyle w:val="hps"/>
                <w:rFonts w:eastAsia="Times New Roman" w:cstheme="minorHAnsi"/>
                <w:lang w:val="es-ES"/>
              </w:rPr>
              <w:t>para el consentimiento informado</w:t>
            </w:r>
            <w:r w:rsidR="00E12D33" w:rsidRPr="007D7001">
              <w:rPr>
                <w:rFonts w:eastAsia="Times New Roman" w:cstheme="minorHAnsi"/>
                <w:lang w:val="es-ES"/>
              </w:rPr>
              <w:t xml:space="preserve"> </w:t>
            </w:r>
            <w:r w:rsidRPr="007D7001">
              <w:rPr>
                <w:rFonts w:eastAsia="Times New Roman" w:cstheme="minorHAnsi"/>
                <w:lang w:val="es-ES"/>
              </w:rPr>
              <w:t>que se debe obtener de forma individual de los participantes incluso en una situación de presión</w:t>
            </w:r>
            <w:r w:rsidR="00225FA7" w:rsidRPr="007D7001">
              <w:rPr>
                <w:rFonts w:eastAsia="Times New Roman" w:cstheme="minorHAnsi"/>
                <w:lang w:val="es-ES"/>
              </w:rPr>
              <w:t xml:space="preserve"> o emergencia</w:t>
            </w:r>
            <w:r w:rsidRPr="007D7001">
              <w:rPr>
                <w:rFonts w:eastAsia="Times New Roman" w:cstheme="minorHAnsi"/>
                <w:lang w:val="es-ES"/>
              </w:rPr>
              <w:t xml:space="preserve">. </w:t>
            </w:r>
          </w:p>
          <w:p w14:paraId="0987402B" w14:textId="6B1F5F4A" w:rsidR="00E12D33" w:rsidRPr="007D7001" w:rsidRDefault="00E12D33" w:rsidP="0075716D">
            <w:pPr>
              <w:jc w:val="both"/>
              <w:rPr>
                <w:rFonts w:cstheme="minorHAnsi"/>
                <w:b/>
                <w:i/>
              </w:rPr>
            </w:pPr>
          </w:p>
        </w:tc>
      </w:tr>
      <w:tr w:rsidR="00414E0F" w:rsidRPr="007D7001" w14:paraId="441496F4" w14:textId="77777777" w:rsidTr="00E12D33">
        <w:tc>
          <w:tcPr>
            <w:tcW w:w="2742" w:type="dxa"/>
          </w:tcPr>
          <w:p w14:paraId="507A9103" w14:textId="36FA36E4" w:rsidR="00225FA7" w:rsidRPr="007D7001" w:rsidRDefault="003C763C" w:rsidP="00471446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>Emergencia Sanitaria</w:t>
            </w:r>
          </w:p>
        </w:tc>
        <w:tc>
          <w:tcPr>
            <w:tcW w:w="6086" w:type="dxa"/>
          </w:tcPr>
          <w:p w14:paraId="21204B76" w14:textId="05B50087" w:rsidR="00225FA7" w:rsidRPr="007D7001" w:rsidRDefault="003C763C" w:rsidP="00E12D33">
            <w:p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>Emergencia Sanitaria, denominada en el Reglamento Sanitario Internacional de la OMS como Emergencia de Salud Pública de importancia internacional, se define como: Evento extraordinario que, de conformidad con el presente Reglamento, se ha determinado que: i) constituye un riesgo para la salud pública de otros Estados a causa de la propagación internacional de una enfermedad, y ii) podría exigir una respuesta internacional coordinada.</w:t>
            </w:r>
          </w:p>
          <w:p w14:paraId="0919F690" w14:textId="2B095C22" w:rsidR="003C763C" w:rsidRPr="007D7001" w:rsidRDefault="003C763C" w:rsidP="00E12D33">
            <w:pPr>
              <w:jc w:val="both"/>
              <w:rPr>
                <w:rFonts w:cstheme="minorHAnsi"/>
              </w:rPr>
            </w:pPr>
          </w:p>
        </w:tc>
      </w:tr>
      <w:tr w:rsidR="00E12D33" w:rsidRPr="007D7001" w14:paraId="1E297D54" w14:textId="77777777" w:rsidTr="00E12D33">
        <w:tc>
          <w:tcPr>
            <w:tcW w:w="2742" w:type="dxa"/>
          </w:tcPr>
          <w:p w14:paraId="210AA56A" w14:textId="1409EE59" w:rsidR="00E12D33" w:rsidRPr="007D7001" w:rsidRDefault="00761893" w:rsidP="00471446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lastRenderedPageBreak/>
              <w:t xml:space="preserve">Desastres </w:t>
            </w:r>
            <w:r w:rsidR="00225FA7" w:rsidRPr="007D7001">
              <w:rPr>
                <w:rFonts w:cstheme="minorHAnsi"/>
                <w:i/>
                <w:sz w:val="24"/>
                <w:szCs w:val="24"/>
              </w:rPr>
              <w:t>y Brotes de Enfermedades</w:t>
            </w:r>
          </w:p>
        </w:tc>
        <w:tc>
          <w:tcPr>
            <w:tcW w:w="6086" w:type="dxa"/>
          </w:tcPr>
          <w:p w14:paraId="30789CF0" w14:textId="4A691952" w:rsidR="00E12D33" w:rsidRPr="007D7001" w:rsidRDefault="00761893" w:rsidP="00E12D33">
            <w:p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>Los desastres</w:t>
            </w:r>
            <w:r w:rsidR="00225FA7" w:rsidRPr="007D7001">
              <w:rPr>
                <w:rFonts w:cstheme="minorHAnsi"/>
              </w:rPr>
              <w:t xml:space="preserve"> y brotes de enfermedades</w:t>
            </w:r>
            <w:r w:rsidRPr="007D7001">
              <w:rPr>
                <w:rFonts w:cstheme="minorHAnsi"/>
              </w:rPr>
              <w:t xml:space="preserve"> son acontecimientos súbitos que causan gran sufrimiento o pérdida de vidas. Las enfermedades y trastornos pueden ser la causa o el resultado de desastres. </w:t>
            </w:r>
          </w:p>
        </w:tc>
      </w:tr>
    </w:tbl>
    <w:p w14:paraId="71539569" w14:textId="77777777" w:rsidR="00471446" w:rsidRPr="007D7001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2E97DD0C" w14:textId="77777777" w:rsidR="00A85348" w:rsidRPr="007D7001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6893"/>
      </w:tblGrid>
      <w:tr w:rsidR="00414E0F" w:rsidRPr="007D7001" w14:paraId="32CC4510" w14:textId="77777777" w:rsidTr="00DF764A">
        <w:tc>
          <w:tcPr>
            <w:tcW w:w="8978" w:type="dxa"/>
            <w:gridSpan w:val="2"/>
            <w:shd w:val="clear" w:color="auto" w:fill="C2D69B" w:themeFill="accent3" w:themeFillTint="99"/>
          </w:tcPr>
          <w:p w14:paraId="1307F199" w14:textId="77777777" w:rsidR="00471446" w:rsidRPr="007D7001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7001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14E0F" w:rsidRPr="007D7001" w14:paraId="77070824" w14:textId="77777777" w:rsidTr="006D3D13">
        <w:tc>
          <w:tcPr>
            <w:tcW w:w="1951" w:type="dxa"/>
          </w:tcPr>
          <w:p w14:paraId="61823F6B" w14:textId="77777777" w:rsidR="00471446" w:rsidRPr="007D7001" w:rsidRDefault="001B3D19" w:rsidP="006D3D13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>Secretaría Técnica</w:t>
            </w:r>
          </w:p>
        </w:tc>
        <w:tc>
          <w:tcPr>
            <w:tcW w:w="7027" w:type="dxa"/>
          </w:tcPr>
          <w:p w14:paraId="5CC7C615" w14:textId="4AB5ED99" w:rsidR="00471446" w:rsidRPr="007D7001" w:rsidRDefault="00E12D33" w:rsidP="00E12D33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>Recibir toda la</w:t>
            </w:r>
            <w:r w:rsidR="00672AB6" w:rsidRPr="007D700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7D7001">
              <w:rPr>
                <w:rFonts w:cstheme="minorHAnsi"/>
                <w:i/>
                <w:sz w:val="24"/>
                <w:szCs w:val="24"/>
              </w:rPr>
              <w:t>documentación de los estudios</w:t>
            </w:r>
            <w:r w:rsidR="00965503" w:rsidRPr="007D7001">
              <w:rPr>
                <w:rFonts w:cstheme="minorHAnsi"/>
                <w:i/>
                <w:sz w:val="24"/>
                <w:szCs w:val="24"/>
              </w:rPr>
              <w:t xml:space="preserve"> y comunicarlo a la presidencia del CNBI</w:t>
            </w:r>
            <w:r w:rsidR="004C2FA6" w:rsidRPr="007D7001"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  <w:tr w:rsidR="00414E0F" w:rsidRPr="007D7001" w14:paraId="0693A31C" w14:textId="77777777" w:rsidTr="006D3D13">
        <w:tc>
          <w:tcPr>
            <w:tcW w:w="1951" w:type="dxa"/>
          </w:tcPr>
          <w:p w14:paraId="450701B5" w14:textId="4290EAA9" w:rsidR="00672AB6" w:rsidRPr="007D7001" w:rsidRDefault="00697581" w:rsidP="006D3D13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>Presidencia</w:t>
            </w:r>
            <w:r w:rsidR="00672AB6" w:rsidRPr="007D7001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</w:tcPr>
          <w:p w14:paraId="38D9620F" w14:textId="264D265E" w:rsidR="00672AB6" w:rsidRPr="007D7001" w:rsidRDefault="0007660F" w:rsidP="007D7001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>D</w:t>
            </w:r>
            <w:r w:rsidR="00697581" w:rsidRPr="007D7001">
              <w:rPr>
                <w:rFonts w:cstheme="minorHAnsi"/>
                <w:i/>
                <w:sz w:val="24"/>
                <w:szCs w:val="24"/>
              </w:rPr>
              <w:t>esignar</w:t>
            </w:r>
            <w:r w:rsidR="004C2FA6" w:rsidRPr="007D7001">
              <w:rPr>
                <w:rFonts w:cstheme="minorHAnsi"/>
                <w:i/>
                <w:sz w:val="24"/>
                <w:szCs w:val="24"/>
              </w:rPr>
              <w:t xml:space="preserve"> tres revisores y desi</w:t>
            </w:r>
            <w:r w:rsidR="00673F79" w:rsidRPr="007D7001">
              <w:rPr>
                <w:rFonts w:cstheme="minorHAnsi"/>
                <w:i/>
                <w:sz w:val="24"/>
                <w:szCs w:val="24"/>
              </w:rPr>
              <w:t>g</w:t>
            </w:r>
            <w:r w:rsidR="004C2FA6" w:rsidRPr="007D7001">
              <w:rPr>
                <w:rFonts w:cstheme="minorHAnsi"/>
                <w:i/>
                <w:sz w:val="24"/>
                <w:szCs w:val="24"/>
              </w:rPr>
              <w:t>nar un revisor externo si lo considera necesario</w:t>
            </w:r>
            <w:r w:rsidR="00697581" w:rsidRPr="007D7001">
              <w:rPr>
                <w:rFonts w:cstheme="minorHAnsi"/>
                <w:i/>
                <w:sz w:val="24"/>
                <w:szCs w:val="24"/>
              </w:rPr>
              <w:t>. Convoca</w:t>
            </w:r>
            <w:r w:rsidR="00673F79" w:rsidRPr="007D7001">
              <w:rPr>
                <w:rFonts w:cstheme="minorHAnsi"/>
                <w:i/>
                <w:sz w:val="24"/>
                <w:szCs w:val="24"/>
              </w:rPr>
              <w:t>r</w:t>
            </w:r>
            <w:r w:rsidR="00697581" w:rsidRPr="007D7001">
              <w:rPr>
                <w:rFonts w:cstheme="minorHAnsi"/>
                <w:i/>
                <w:sz w:val="24"/>
                <w:szCs w:val="24"/>
              </w:rPr>
              <w:t xml:space="preserve"> a una reunión extraordinaria</w:t>
            </w:r>
            <w:r w:rsidR="00673F79" w:rsidRPr="007D7001">
              <w:rPr>
                <w:rFonts w:cstheme="minorHAnsi"/>
                <w:i/>
                <w:sz w:val="24"/>
                <w:szCs w:val="24"/>
              </w:rPr>
              <w:t xml:space="preserve"> para la revisión </w:t>
            </w:r>
            <w:r w:rsidR="00FD15E3" w:rsidRPr="007D7001">
              <w:rPr>
                <w:rFonts w:cstheme="minorHAnsi"/>
                <w:i/>
                <w:sz w:val="24"/>
                <w:szCs w:val="24"/>
              </w:rPr>
              <w:t xml:space="preserve">especial </w:t>
            </w:r>
            <w:r w:rsidR="00673F79" w:rsidRPr="007D7001">
              <w:rPr>
                <w:rFonts w:cstheme="minorHAnsi"/>
                <w:i/>
                <w:sz w:val="24"/>
                <w:szCs w:val="24"/>
              </w:rPr>
              <w:t>del protocolo</w:t>
            </w:r>
            <w:r w:rsidR="00672AB6" w:rsidRPr="007D7001">
              <w:rPr>
                <w:rFonts w:cstheme="minorHAnsi"/>
                <w:i/>
                <w:sz w:val="24"/>
                <w:szCs w:val="24"/>
              </w:rPr>
              <w:t>.</w:t>
            </w:r>
            <w:r w:rsidRPr="007D7001">
              <w:rPr>
                <w:rFonts w:cstheme="minorHAnsi"/>
                <w:i/>
                <w:sz w:val="24"/>
                <w:szCs w:val="24"/>
              </w:rPr>
              <w:t xml:space="preserve"> Dar respuesta a la solicitud.</w:t>
            </w:r>
          </w:p>
        </w:tc>
      </w:tr>
      <w:tr w:rsidR="00414E0F" w:rsidRPr="007D7001" w14:paraId="32925290" w14:textId="77777777" w:rsidTr="006D3D13">
        <w:tc>
          <w:tcPr>
            <w:tcW w:w="1951" w:type="dxa"/>
          </w:tcPr>
          <w:p w14:paraId="69341496" w14:textId="3F579C70" w:rsidR="00697581" w:rsidRPr="007D7001" w:rsidRDefault="00697581" w:rsidP="006D3D13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>Miembros del Comité</w:t>
            </w:r>
          </w:p>
        </w:tc>
        <w:tc>
          <w:tcPr>
            <w:tcW w:w="7027" w:type="dxa"/>
          </w:tcPr>
          <w:p w14:paraId="0E06B675" w14:textId="5800650E" w:rsidR="00697581" w:rsidRPr="007D7001" w:rsidRDefault="00697581" w:rsidP="00BB3581">
            <w:pPr>
              <w:rPr>
                <w:rFonts w:cstheme="minorHAnsi"/>
                <w:i/>
                <w:sz w:val="24"/>
                <w:szCs w:val="24"/>
              </w:rPr>
            </w:pPr>
            <w:r w:rsidRPr="007D7001">
              <w:rPr>
                <w:rFonts w:cstheme="minorHAnsi"/>
                <w:i/>
                <w:sz w:val="24"/>
                <w:szCs w:val="24"/>
              </w:rPr>
              <w:t>Asistir a la reunión extraordinaria y deliberar sobre el protocolo de acuerdo a los puntos que presenten los revisores.</w:t>
            </w:r>
          </w:p>
        </w:tc>
      </w:tr>
    </w:tbl>
    <w:p w14:paraId="426AA169" w14:textId="0FF681B2" w:rsidR="00E12D33" w:rsidRPr="007D7001" w:rsidRDefault="00E12D33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7EDA4FDE" w14:textId="77777777" w:rsidR="00E12D33" w:rsidRPr="007D7001" w:rsidRDefault="00E12D33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4E0F" w:rsidRPr="007D7001" w14:paraId="55BFC8CF" w14:textId="77777777" w:rsidTr="00DF764A">
        <w:tc>
          <w:tcPr>
            <w:tcW w:w="8978" w:type="dxa"/>
            <w:shd w:val="clear" w:color="auto" w:fill="C2D69B" w:themeFill="accent3" w:themeFillTint="99"/>
          </w:tcPr>
          <w:p w14:paraId="02E2E6E0" w14:textId="77777777" w:rsidR="00471446" w:rsidRPr="007D7001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7001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14E0F" w:rsidRPr="00414E0F" w14:paraId="4573B417" w14:textId="77777777" w:rsidTr="00672AB6">
        <w:tc>
          <w:tcPr>
            <w:tcW w:w="8978" w:type="dxa"/>
            <w:shd w:val="clear" w:color="auto" w:fill="auto"/>
          </w:tcPr>
          <w:p w14:paraId="28BCB3FA" w14:textId="77777777" w:rsidR="00AB7131" w:rsidRPr="007D7001" w:rsidRDefault="00AB7131" w:rsidP="00AB7131">
            <w:pPr>
              <w:pStyle w:val="Prrafodelista"/>
              <w:tabs>
                <w:tab w:val="left" w:pos="567"/>
              </w:tabs>
              <w:ind w:left="567"/>
              <w:jc w:val="both"/>
              <w:rPr>
                <w:rStyle w:val="hps"/>
                <w:rFonts w:cstheme="minorHAnsi"/>
                <w:b/>
                <w:bCs/>
              </w:rPr>
            </w:pPr>
          </w:p>
          <w:p w14:paraId="0FA0406B" w14:textId="45C61326" w:rsidR="00E12D33" w:rsidRPr="007D7001" w:rsidRDefault="00E12D33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</w:rPr>
            </w:pPr>
            <w:r w:rsidRPr="007D7001">
              <w:rPr>
                <w:rStyle w:val="hps"/>
                <w:rFonts w:eastAsia="Times New Roman" w:cstheme="minorHAnsi"/>
                <w:lang w:val="es-ES"/>
              </w:rPr>
              <w:t>El/la investigador(a)</w:t>
            </w:r>
            <w:r w:rsidR="00414E0F" w:rsidRPr="007D7001">
              <w:rPr>
                <w:rStyle w:val="hps"/>
                <w:rFonts w:eastAsia="Times New Roman" w:cstheme="minorHAnsi"/>
                <w:lang w:val="es-ES"/>
              </w:rPr>
              <w:t xml:space="preserve"> principal</w:t>
            </w:r>
            <w:r w:rsidR="007D7001" w:rsidRPr="007D7001">
              <w:rPr>
                <w:rStyle w:val="hps"/>
                <w:rFonts w:eastAsia="Times New Roman" w:cstheme="minorHAnsi"/>
                <w:lang w:val="es-ES"/>
              </w:rPr>
              <w:t xml:space="preserve"> solicita la evaluación</w:t>
            </w:r>
            <w:r w:rsidR="00FD15E3" w:rsidRPr="007D7001">
              <w:rPr>
                <w:rStyle w:val="hps"/>
                <w:rFonts w:eastAsia="Times New Roman" w:cstheme="minorHAnsi"/>
                <w:lang w:val="es-ES"/>
              </w:rPr>
              <w:t xml:space="preserve"> </w:t>
            </w:r>
            <w:r w:rsidR="00FD15E3" w:rsidRPr="007D7001">
              <w:rPr>
                <w:rStyle w:val="hps"/>
                <w:rFonts w:eastAsia="Times New Roman"/>
                <w:lang w:val="es-ES"/>
              </w:rPr>
              <w:t>especial</w:t>
            </w:r>
            <w:r w:rsidR="00697581" w:rsidRPr="007D7001">
              <w:rPr>
                <w:rStyle w:val="hps"/>
                <w:rFonts w:eastAsia="Times New Roman" w:cstheme="minorHAnsi"/>
                <w:lang w:val="es-ES"/>
              </w:rPr>
              <w:t xml:space="preserve"> del protocolo</w:t>
            </w:r>
            <w:r w:rsidRPr="007D7001">
              <w:rPr>
                <w:rStyle w:val="hps"/>
                <w:rFonts w:eastAsia="Times New Roman" w:cstheme="minorHAnsi"/>
                <w:lang w:val="es-ES"/>
              </w:rPr>
              <w:t xml:space="preserve"> en la carta de solicitud de evaluación </w:t>
            </w:r>
            <w:r w:rsidR="00104798" w:rsidRPr="007D7001">
              <w:rPr>
                <w:rStyle w:val="hps"/>
                <w:rFonts w:eastAsia="Times New Roman" w:cstheme="minorHAnsi"/>
                <w:lang w:val="es-ES"/>
              </w:rPr>
              <w:t xml:space="preserve">justificando la misma, </w:t>
            </w:r>
            <w:r w:rsidRPr="007D7001">
              <w:rPr>
                <w:rStyle w:val="hps"/>
                <w:rFonts w:eastAsia="Times New Roman" w:cstheme="minorHAnsi"/>
                <w:lang w:val="es-ES"/>
              </w:rPr>
              <w:t>dirigida al presidente del C</w:t>
            </w:r>
            <w:r w:rsidR="00DD1017" w:rsidRPr="007D7001">
              <w:rPr>
                <w:rStyle w:val="hps"/>
                <w:rFonts w:eastAsia="Times New Roman" w:cstheme="minorHAnsi"/>
                <w:lang w:val="es-ES"/>
              </w:rPr>
              <w:t>NBI</w:t>
            </w:r>
            <w:r w:rsidRPr="007D7001">
              <w:rPr>
                <w:rStyle w:val="hps"/>
                <w:rFonts w:eastAsia="Times New Roman" w:cstheme="minorHAnsi"/>
                <w:lang w:val="es-ES"/>
              </w:rPr>
              <w:t xml:space="preserve"> q</w:t>
            </w:r>
            <w:r w:rsidR="00FD5567" w:rsidRPr="007D7001">
              <w:rPr>
                <w:rStyle w:val="hps"/>
                <w:rFonts w:eastAsia="Times New Roman" w:cstheme="minorHAnsi"/>
                <w:lang w:val="es-ES"/>
              </w:rPr>
              <w:t xml:space="preserve">uien decide si corresponde o no. </w:t>
            </w:r>
          </w:p>
          <w:p w14:paraId="4E4A4B24" w14:textId="46110F7A" w:rsidR="00E12D33" w:rsidRPr="007D7001" w:rsidRDefault="00414E0F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</w:rPr>
            </w:pPr>
            <w:r w:rsidRPr="007D7001">
              <w:rPr>
                <w:rStyle w:val="hps"/>
                <w:rFonts w:eastAsia="Times New Roman" w:cstheme="minorHAnsi"/>
                <w:lang w:val="es-ES"/>
              </w:rPr>
              <w:t xml:space="preserve">El/la investigador(a) </w:t>
            </w:r>
            <w:r w:rsidR="00E12D33" w:rsidRPr="007D7001">
              <w:rPr>
                <w:rStyle w:val="hps"/>
                <w:rFonts w:eastAsia="Times New Roman" w:cstheme="minorHAnsi"/>
                <w:lang w:val="es-ES"/>
              </w:rPr>
              <w:t xml:space="preserve">principal presentará la documentación del estudio </w:t>
            </w:r>
            <w:proofErr w:type="gramStart"/>
            <w:r w:rsidR="00E12D33" w:rsidRPr="007D7001">
              <w:rPr>
                <w:rStyle w:val="hps"/>
                <w:rFonts w:eastAsia="Times New Roman" w:cstheme="minorHAnsi"/>
                <w:lang w:val="es-ES"/>
              </w:rPr>
              <w:t>de acuerdo al</w:t>
            </w:r>
            <w:proofErr w:type="gramEnd"/>
            <w:r w:rsidR="00E12D33" w:rsidRPr="007D7001">
              <w:rPr>
                <w:rStyle w:val="hps"/>
                <w:rFonts w:eastAsia="Times New Roman" w:cstheme="minorHAnsi"/>
                <w:lang w:val="es-ES"/>
              </w:rPr>
              <w:t xml:space="preserve"> Procedimiento Operativo para presentar estudios ante el </w:t>
            </w:r>
            <w:r w:rsidR="00DD1017" w:rsidRPr="007D7001">
              <w:rPr>
                <w:rStyle w:val="hps"/>
                <w:rFonts w:eastAsia="Times New Roman" w:cstheme="minorHAnsi"/>
                <w:lang w:val="es-ES"/>
              </w:rPr>
              <w:t>CNBI</w:t>
            </w:r>
            <w:r w:rsidR="00E12D33" w:rsidRPr="007D7001">
              <w:rPr>
                <w:rStyle w:val="hps"/>
                <w:rFonts w:eastAsia="Times New Roman" w:cstheme="minorHAnsi"/>
                <w:lang w:val="es-ES"/>
              </w:rPr>
              <w:t>.</w:t>
            </w:r>
          </w:p>
          <w:p w14:paraId="2A7932E2" w14:textId="070E8A00" w:rsidR="00E12D33" w:rsidRPr="007D7001" w:rsidRDefault="00414E0F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Fonts w:cstheme="minorHAnsi"/>
              </w:rPr>
            </w:pPr>
            <w:r w:rsidRPr="007D7001">
              <w:rPr>
                <w:rStyle w:val="hps"/>
                <w:rFonts w:eastAsia="Times New Roman" w:cstheme="minorHAnsi"/>
                <w:lang w:val="es-ES"/>
              </w:rPr>
              <w:t>El/la investigador(a)</w:t>
            </w:r>
            <w:r w:rsidR="00E12D33" w:rsidRPr="007D7001">
              <w:rPr>
                <w:rFonts w:cstheme="minorHAnsi"/>
              </w:rPr>
              <w:t xml:space="preserve"> principal debe presentar todos los documentos exigidos por el C</w:t>
            </w:r>
            <w:r w:rsidR="00DD1017" w:rsidRPr="007D7001">
              <w:rPr>
                <w:rFonts w:cstheme="minorHAnsi"/>
              </w:rPr>
              <w:t>NBI</w:t>
            </w:r>
            <w:r w:rsidR="00E12D33" w:rsidRPr="007D7001">
              <w:rPr>
                <w:rFonts w:cstheme="minorHAnsi"/>
              </w:rPr>
              <w:t xml:space="preserve"> para revisar un proyecto de investigación.</w:t>
            </w:r>
          </w:p>
          <w:p w14:paraId="15A05A5E" w14:textId="78D6C6DD" w:rsidR="004C2FA6" w:rsidRPr="007D7001" w:rsidRDefault="004C2FA6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 xml:space="preserve">La secretaría técnica </w:t>
            </w:r>
            <w:r w:rsidR="007E0160" w:rsidRPr="007D7001">
              <w:rPr>
                <w:rFonts w:cstheme="minorHAnsi"/>
              </w:rPr>
              <w:t xml:space="preserve">verifica que estén </w:t>
            </w:r>
            <w:r w:rsidR="00FD5567" w:rsidRPr="007D7001">
              <w:rPr>
                <w:rFonts w:cstheme="minorHAnsi"/>
              </w:rPr>
              <w:t>todos los</w:t>
            </w:r>
            <w:r w:rsidRPr="007D7001">
              <w:rPr>
                <w:rFonts w:cstheme="minorHAnsi"/>
              </w:rPr>
              <w:t xml:space="preserve"> documentos de acuerdo</w:t>
            </w:r>
            <w:r w:rsidR="00DD1017" w:rsidRPr="007D7001">
              <w:rPr>
                <w:rFonts w:cstheme="minorHAnsi"/>
              </w:rPr>
              <w:t xml:space="preserve"> a</w:t>
            </w:r>
            <w:r w:rsidRPr="007D7001">
              <w:rPr>
                <w:rFonts w:cstheme="minorHAnsi"/>
              </w:rPr>
              <w:t xml:space="preserve"> la PT-</w:t>
            </w:r>
            <w:r w:rsidR="00DD1017" w:rsidRPr="007D7001">
              <w:rPr>
                <w:rFonts w:cstheme="minorHAnsi"/>
              </w:rPr>
              <w:t>020-A: Lista de Verificación Inicial para revisión de Protocolos</w:t>
            </w:r>
            <w:r w:rsidRPr="007D7001">
              <w:rPr>
                <w:rFonts w:cstheme="minorHAnsi"/>
              </w:rPr>
              <w:t>,</w:t>
            </w:r>
            <w:r w:rsidR="007E0160" w:rsidRPr="007D7001">
              <w:rPr>
                <w:rFonts w:cstheme="minorHAnsi"/>
              </w:rPr>
              <w:t xml:space="preserve"> </w:t>
            </w:r>
            <w:r w:rsidR="00FD5567" w:rsidRPr="007D7001">
              <w:rPr>
                <w:rFonts w:cstheme="minorHAnsi"/>
              </w:rPr>
              <w:t>y puede</w:t>
            </w:r>
            <w:r w:rsidRPr="007D7001">
              <w:rPr>
                <w:rFonts w:cstheme="minorHAnsi"/>
              </w:rPr>
              <w:t xml:space="preserve"> dar trámite al protocolo una vez recibido el consentimiento informado, el protocolo de investigación y el </w:t>
            </w:r>
            <w:r w:rsidR="00B01FD8" w:rsidRPr="007D7001">
              <w:rPr>
                <w:rFonts w:cstheme="minorHAnsi"/>
              </w:rPr>
              <w:t>CV</w:t>
            </w:r>
            <w:r w:rsidRPr="007D7001">
              <w:rPr>
                <w:rFonts w:cstheme="minorHAnsi"/>
              </w:rPr>
              <w:t xml:space="preserve"> de los investigadores.</w:t>
            </w:r>
          </w:p>
          <w:p w14:paraId="0F59136B" w14:textId="21E717C4" w:rsidR="00E12D33" w:rsidRPr="007D7001" w:rsidRDefault="00E12D33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</w:rPr>
            </w:pPr>
            <w:r w:rsidRPr="007D7001">
              <w:rPr>
                <w:rStyle w:val="hps"/>
                <w:rFonts w:eastAsia="Times New Roman" w:cstheme="minorHAnsi"/>
                <w:lang w:val="es-ES"/>
              </w:rPr>
              <w:t xml:space="preserve">El/la Presidente del </w:t>
            </w:r>
            <w:r w:rsidR="00DD1017" w:rsidRPr="007D7001">
              <w:rPr>
                <w:rStyle w:val="hps"/>
                <w:rFonts w:eastAsia="Times New Roman" w:cstheme="minorHAnsi"/>
                <w:lang w:val="es-ES"/>
              </w:rPr>
              <w:t>CNBI</w:t>
            </w:r>
            <w:r w:rsidRPr="007D7001">
              <w:rPr>
                <w:rStyle w:val="hps"/>
                <w:rFonts w:eastAsia="Times New Roman" w:cstheme="minorHAnsi"/>
                <w:i/>
                <w:iCs/>
                <w:lang w:val="es-ES"/>
              </w:rPr>
              <w:t xml:space="preserve"> </w:t>
            </w:r>
            <w:r w:rsidR="004C2FA6" w:rsidRPr="007D7001">
              <w:rPr>
                <w:rStyle w:val="hps"/>
                <w:rFonts w:eastAsia="Times New Roman" w:cstheme="minorHAnsi"/>
                <w:lang w:val="es-ES"/>
              </w:rPr>
              <w:t xml:space="preserve">en un periodo </w:t>
            </w:r>
            <w:r w:rsidR="00965503" w:rsidRPr="007D7001">
              <w:rPr>
                <w:rStyle w:val="hps"/>
                <w:rFonts w:eastAsia="Times New Roman" w:cstheme="minorHAnsi"/>
                <w:lang w:val="es-ES"/>
              </w:rPr>
              <w:t>no mayor de</w:t>
            </w:r>
            <w:r w:rsidR="004C2FA6" w:rsidRPr="007D7001">
              <w:rPr>
                <w:rStyle w:val="hps"/>
                <w:rFonts w:eastAsia="Times New Roman" w:cstheme="minorHAnsi"/>
                <w:lang w:val="es-ES"/>
              </w:rPr>
              <w:t xml:space="preserve"> </w:t>
            </w:r>
            <w:r w:rsidR="008E5517" w:rsidRPr="007D7001">
              <w:rPr>
                <w:rStyle w:val="hps"/>
                <w:rFonts w:eastAsia="Times New Roman" w:cstheme="minorHAnsi"/>
                <w:lang w:val="es-ES"/>
              </w:rPr>
              <w:t>2 días</w:t>
            </w:r>
            <w:r w:rsidR="00CC1198" w:rsidRPr="007D7001">
              <w:rPr>
                <w:rStyle w:val="hps"/>
                <w:rFonts w:eastAsia="Times New Roman" w:cstheme="minorHAnsi"/>
                <w:lang w:val="es-ES"/>
              </w:rPr>
              <w:t xml:space="preserve"> hábiles</w:t>
            </w:r>
            <w:r w:rsidR="00DD1017" w:rsidRPr="007D7001">
              <w:rPr>
                <w:rStyle w:val="hps"/>
                <w:rFonts w:eastAsia="Times New Roman" w:cstheme="minorHAnsi"/>
                <w:lang w:val="es-ES"/>
              </w:rPr>
              <w:t xml:space="preserve"> después de recibida la solicitud, asignará</w:t>
            </w:r>
            <w:r w:rsidRPr="007D7001">
              <w:rPr>
                <w:rStyle w:val="hps"/>
                <w:rFonts w:eastAsia="Times New Roman" w:cstheme="minorHAnsi"/>
                <w:lang w:val="es-ES"/>
              </w:rPr>
              <w:t xml:space="preserve"> </w:t>
            </w:r>
            <w:r w:rsidR="004C2FA6" w:rsidRPr="007D7001">
              <w:rPr>
                <w:rStyle w:val="hps"/>
                <w:rFonts w:eastAsia="Times New Roman" w:cstheme="minorHAnsi"/>
                <w:lang w:val="es-ES"/>
              </w:rPr>
              <w:t>tres revisores y un revisor externo de considerarlo necesario</w:t>
            </w:r>
            <w:r w:rsidRPr="007D7001">
              <w:rPr>
                <w:rStyle w:val="hps"/>
                <w:rFonts w:eastAsia="Times New Roman" w:cstheme="minorHAnsi"/>
                <w:lang w:val="es-ES"/>
              </w:rPr>
              <w:t xml:space="preserve">, indicándoles </w:t>
            </w:r>
            <w:r w:rsidR="00B01FD8" w:rsidRPr="007D7001">
              <w:rPr>
                <w:rStyle w:val="hps"/>
                <w:rFonts w:eastAsia="Times New Roman" w:cstheme="minorHAnsi"/>
                <w:lang w:val="es-ES"/>
              </w:rPr>
              <w:t>que,</w:t>
            </w:r>
            <w:r w:rsidRPr="007D7001">
              <w:rPr>
                <w:rStyle w:val="hps"/>
                <w:rFonts w:eastAsia="Times New Roman" w:cstheme="minorHAnsi"/>
                <w:lang w:val="es-ES"/>
              </w:rPr>
              <w:t xml:space="preserve"> </w:t>
            </w:r>
            <w:r w:rsidR="007E0160" w:rsidRPr="007D7001">
              <w:rPr>
                <w:rStyle w:val="hps"/>
                <w:rFonts w:eastAsia="Times New Roman" w:cstheme="minorHAnsi"/>
                <w:lang w:val="es-ES"/>
              </w:rPr>
              <w:t xml:space="preserve">la </w:t>
            </w:r>
            <w:r w:rsidRPr="007D7001">
              <w:rPr>
                <w:rStyle w:val="hps"/>
                <w:rFonts w:eastAsia="Times New Roman" w:cstheme="minorHAnsi"/>
                <w:lang w:val="es-ES"/>
              </w:rPr>
              <w:t>revisión</w:t>
            </w:r>
            <w:r w:rsidR="00FD15E3" w:rsidRPr="007D7001">
              <w:rPr>
                <w:rStyle w:val="hps"/>
                <w:rFonts w:eastAsia="Times New Roman" w:cstheme="minorHAnsi"/>
                <w:lang w:val="es-ES"/>
              </w:rPr>
              <w:t xml:space="preserve"> </w:t>
            </w:r>
            <w:r w:rsidR="00FD15E3" w:rsidRPr="007D7001">
              <w:rPr>
                <w:rStyle w:val="hps"/>
                <w:rFonts w:eastAsia="Times New Roman"/>
                <w:lang w:val="es-ES"/>
              </w:rPr>
              <w:t xml:space="preserve">especial </w:t>
            </w:r>
            <w:r w:rsidR="00DD1017" w:rsidRPr="007D7001">
              <w:rPr>
                <w:rStyle w:val="hps"/>
                <w:rFonts w:eastAsia="Times New Roman" w:cstheme="minorHAnsi"/>
                <w:lang w:val="es-ES"/>
              </w:rPr>
              <w:t>en caso de emergencias</w:t>
            </w:r>
            <w:r w:rsidRPr="007D7001">
              <w:rPr>
                <w:rStyle w:val="hps"/>
                <w:rFonts w:eastAsia="Times New Roman" w:cstheme="minorHAnsi"/>
                <w:lang w:val="es-ES"/>
              </w:rPr>
              <w:t>, deberá reali</w:t>
            </w:r>
            <w:r w:rsidR="00AB7131" w:rsidRPr="007D7001">
              <w:rPr>
                <w:rStyle w:val="hps"/>
                <w:rFonts w:eastAsia="Times New Roman" w:cstheme="minorHAnsi"/>
                <w:lang w:val="es-ES"/>
              </w:rPr>
              <w:t xml:space="preserve">zarse en un periodo máximo de </w:t>
            </w:r>
            <w:r w:rsidR="008E5517" w:rsidRPr="007D7001">
              <w:rPr>
                <w:rStyle w:val="hps"/>
                <w:rFonts w:eastAsia="Times New Roman" w:cstheme="minorHAnsi"/>
                <w:lang w:val="es-ES"/>
              </w:rPr>
              <w:t>3 días</w:t>
            </w:r>
            <w:r w:rsidR="00CC1198" w:rsidRPr="007D7001">
              <w:rPr>
                <w:rStyle w:val="hps"/>
                <w:rFonts w:eastAsia="Times New Roman" w:cstheme="minorHAnsi"/>
                <w:lang w:val="es-ES"/>
              </w:rPr>
              <w:t xml:space="preserve"> hábiles</w:t>
            </w:r>
            <w:r w:rsidRPr="007D7001">
              <w:rPr>
                <w:rStyle w:val="hps"/>
                <w:rFonts w:eastAsia="Times New Roman" w:cstheme="minorHAnsi"/>
                <w:lang w:val="es-ES"/>
              </w:rPr>
              <w:t>.</w:t>
            </w:r>
            <w:r w:rsidR="004C2FA6" w:rsidRPr="007D7001">
              <w:rPr>
                <w:rStyle w:val="hps"/>
                <w:rFonts w:eastAsia="Times New Roman" w:cstheme="minorHAnsi"/>
                <w:lang w:val="es-ES"/>
              </w:rPr>
              <w:t xml:space="preserve"> </w:t>
            </w:r>
            <w:r w:rsidR="002102CA" w:rsidRPr="007D7001">
              <w:rPr>
                <w:rStyle w:val="hps"/>
                <w:rFonts w:eastAsia="Times New Roman" w:cstheme="minorHAnsi"/>
                <w:lang w:val="es-ES"/>
              </w:rPr>
              <w:t>Se enviará el protocolo a todos los miembros para que puedan hacer sus observaciones durante la reunión</w:t>
            </w:r>
            <w:r w:rsidR="00DD1017" w:rsidRPr="007D7001">
              <w:rPr>
                <w:rStyle w:val="hps"/>
                <w:rFonts w:eastAsia="Times New Roman" w:cstheme="minorHAnsi"/>
                <w:lang w:val="es-ES"/>
              </w:rPr>
              <w:t xml:space="preserve"> extraordinaria</w:t>
            </w:r>
            <w:r w:rsidR="00965503" w:rsidRPr="007D7001">
              <w:rPr>
                <w:rStyle w:val="hps"/>
                <w:rFonts w:eastAsia="Times New Roman" w:cstheme="minorHAnsi"/>
                <w:lang w:val="es-ES"/>
              </w:rPr>
              <w:t>.</w:t>
            </w:r>
          </w:p>
          <w:p w14:paraId="395552F6" w14:textId="30DFA58C" w:rsidR="00104798" w:rsidRPr="007D7001" w:rsidRDefault="00104798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</w:rPr>
            </w:pPr>
            <w:r w:rsidRPr="007D7001">
              <w:rPr>
                <w:rStyle w:val="hps"/>
                <w:rFonts w:cstheme="minorHAnsi"/>
              </w:rPr>
              <w:lastRenderedPageBreak/>
              <w:t xml:space="preserve">El/la Presidente </w:t>
            </w:r>
            <w:r w:rsidR="004C2FA6" w:rsidRPr="007D7001">
              <w:rPr>
                <w:rStyle w:val="hps"/>
                <w:rFonts w:cstheme="minorHAnsi"/>
              </w:rPr>
              <w:t>convocará una reunión extraordinaria</w:t>
            </w:r>
            <w:r w:rsidR="00965503" w:rsidRPr="007D7001">
              <w:rPr>
                <w:rStyle w:val="hps"/>
                <w:rFonts w:cstheme="minorHAnsi"/>
              </w:rPr>
              <w:t xml:space="preserve">, o en su defecto una sesión </w:t>
            </w:r>
            <w:proofErr w:type="gramStart"/>
            <w:r w:rsidR="00965503" w:rsidRPr="007D7001">
              <w:rPr>
                <w:rStyle w:val="hps"/>
                <w:rFonts w:cstheme="minorHAnsi"/>
              </w:rPr>
              <w:t xml:space="preserve">virtual, </w:t>
            </w:r>
            <w:r w:rsidR="004C2FA6" w:rsidRPr="007D7001">
              <w:rPr>
                <w:rStyle w:val="hps"/>
                <w:rFonts w:cstheme="minorHAnsi"/>
              </w:rPr>
              <w:t xml:space="preserve"> en</w:t>
            </w:r>
            <w:proofErr w:type="gramEnd"/>
            <w:r w:rsidR="004C2FA6" w:rsidRPr="007D7001">
              <w:rPr>
                <w:rStyle w:val="hps"/>
                <w:rFonts w:cstheme="minorHAnsi"/>
              </w:rPr>
              <w:t xml:space="preserve"> un período máximo de </w:t>
            </w:r>
            <w:r w:rsidR="008E5517" w:rsidRPr="007D7001">
              <w:rPr>
                <w:rStyle w:val="hps"/>
                <w:rFonts w:cstheme="minorHAnsi"/>
              </w:rPr>
              <w:t>3 días</w:t>
            </w:r>
            <w:r w:rsidR="00CC1198" w:rsidRPr="007D7001">
              <w:rPr>
                <w:rStyle w:val="hps"/>
                <w:rFonts w:cstheme="minorHAnsi"/>
              </w:rPr>
              <w:t xml:space="preserve"> </w:t>
            </w:r>
            <w:r w:rsidR="00CC1198" w:rsidRPr="007D7001">
              <w:rPr>
                <w:rStyle w:val="hps"/>
                <w:rFonts w:eastAsia="Times New Roman" w:cstheme="minorHAnsi"/>
                <w:lang w:val="es-ES"/>
              </w:rPr>
              <w:t>hábiles</w:t>
            </w:r>
            <w:r w:rsidR="00DD1017" w:rsidRPr="007D7001">
              <w:rPr>
                <w:rStyle w:val="hps"/>
                <w:rFonts w:cstheme="minorHAnsi"/>
              </w:rPr>
              <w:t xml:space="preserve"> posterior a la recepción de la solicitud,</w:t>
            </w:r>
            <w:r w:rsidR="004C2FA6" w:rsidRPr="007D7001">
              <w:rPr>
                <w:rStyle w:val="hps"/>
                <w:rFonts w:cstheme="minorHAnsi"/>
              </w:rPr>
              <w:t xml:space="preserve"> de no haber una reunión ordinaria en el tiempo previsto.</w:t>
            </w:r>
          </w:p>
          <w:p w14:paraId="0DFDE54C" w14:textId="77777777" w:rsidR="0010429E" w:rsidRPr="007D7001" w:rsidRDefault="00104798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El/la Presidente podrá presentar en el Pleno del Comité el estudio para discusión</w:t>
            </w:r>
            <w:r w:rsidR="002102CA" w:rsidRPr="007D7001">
              <w:rPr>
                <w:rStyle w:val="hps"/>
                <w:rFonts w:cstheme="minorHAnsi"/>
                <w:bCs/>
              </w:rPr>
              <w:t xml:space="preserve"> junto con el informe de los revisores, incluido el revisor externo que podrá ser invitado a la reunión con derecho a voz.</w:t>
            </w:r>
          </w:p>
          <w:p w14:paraId="5635F987" w14:textId="4DC9E6D6" w:rsidR="00B144AC" w:rsidRPr="007D7001" w:rsidRDefault="00B144AC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Fonts w:cstheme="minorHAnsi"/>
                <w:bCs/>
              </w:rPr>
            </w:pPr>
            <w:r w:rsidRPr="007D7001">
              <w:rPr>
                <w:rFonts w:cstheme="minorHAnsi"/>
              </w:rPr>
              <w:t>La secretaría técnica del comité informará de la reunión extraordinaria a los investigadores</w:t>
            </w:r>
            <w:r w:rsidR="00B01FD8" w:rsidRPr="007D7001">
              <w:rPr>
                <w:rFonts w:cstheme="minorHAnsi"/>
              </w:rPr>
              <w:t>,</w:t>
            </w:r>
            <w:r w:rsidRPr="007D7001">
              <w:rPr>
                <w:rFonts w:cstheme="minorHAnsi"/>
              </w:rPr>
              <w:t xml:space="preserve"> de tal forma que estén disponibles en caso que se requiera su participación para aclarar dudas</w:t>
            </w:r>
            <w:r w:rsidR="00414E0F" w:rsidRPr="007D7001">
              <w:rPr>
                <w:rFonts w:cstheme="minorHAnsi"/>
              </w:rPr>
              <w:t xml:space="preserve">. </w:t>
            </w:r>
          </w:p>
          <w:p w14:paraId="41E1E4AC" w14:textId="4FA1CDDF" w:rsidR="0010429E" w:rsidRPr="007D7001" w:rsidRDefault="00A1752E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</w:rPr>
              <w:t xml:space="preserve">Si el protocolo de investigación </w:t>
            </w:r>
            <w:r w:rsidR="0015324F" w:rsidRPr="007D7001">
              <w:rPr>
                <w:rStyle w:val="hps"/>
                <w:rFonts w:cstheme="minorHAnsi"/>
              </w:rPr>
              <w:t xml:space="preserve">requiere </w:t>
            </w:r>
            <w:r w:rsidR="00FD5567" w:rsidRPr="007D7001">
              <w:rPr>
                <w:rStyle w:val="hps"/>
                <w:rFonts w:cstheme="minorHAnsi"/>
              </w:rPr>
              <w:t>aclaraciones o</w:t>
            </w:r>
            <w:r w:rsidRPr="007D7001">
              <w:rPr>
                <w:rStyle w:val="hps"/>
                <w:rFonts w:cstheme="minorHAnsi"/>
              </w:rPr>
              <w:t xml:space="preserve"> necesita correcciones, los investigadores tendrán un período de </w:t>
            </w:r>
            <w:r w:rsidR="008E5517" w:rsidRPr="007D7001">
              <w:rPr>
                <w:rStyle w:val="hps"/>
                <w:rFonts w:cstheme="minorHAnsi"/>
              </w:rPr>
              <w:t>3 días hábiles</w:t>
            </w:r>
            <w:r w:rsidRPr="007D7001">
              <w:rPr>
                <w:rStyle w:val="hps"/>
                <w:rFonts w:cstheme="minorHAnsi"/>
              </w:rPr>
              <w:t xml:space="preserve"> para contestar las dudas o hacer las correcciones que establezca el CNBI</w:t>
            </w:r>
            <w:r w:rsidR="00B144AC" w:rsidRPr="007D7001">
              <w:rPr>
                <w:rStyle w:val="hps"/>
                <w:rFonts w:cstheme="minorHAnsi"/>
              </w:rPr>
              <w:t>,</w:t>
            </w:r>
            <w:r w:rsidRPr="007D7001">
              <w:rPr>
                <w:rStyle w:val="hps"/>
                <w:rFonts w:cstheme="minorHAnsi"/>
              </w:rPr>
              <w:t xml:space="preserve"> plazo que podrá ser prorrogado a consideración </w:t>
            </w:r>
            <w:r w:rsidR="009A6AF5" w:rsidRPr="007D7001">
              <w:rPr>
                <w:rStyle w:val="hps"/>
                <w:rFonts w:cstheme="minorHAnsi"/>
              </w:rPr>
              <w:t>del CNBI</w:t>
            </w:r>
            <w:r w:rsidRPr="007D7001">
              <w:rPr>
                <w:rStyle w:val="hps"/>
                <w:rFonts w:cstheme="minorHAnsi"/>
              </w:rPr>
              <w:t>.</w:t>
            </w:r>
          </w:p>
          <w:p w14:paraId="204FECB1" w14:textId="37790C7D" w:rsidR="00B144AC" w:rsidRPr="007D7001" w:rsidRDefault="00B144AC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Fonts w:cstheme="minorHAnsi"/>
                <w:bCs/>
              </w:rPr>
            </w:pPr>
            <w:r w:rsidRPr="007D7001">
              <w:rPr>
                <w:rFonts w:cstheme="minorHAnsi"/>
              </w:rPr>
              <w:t xml:space="preserve">Si las correcciones son de fondo, se convocará otra reunión extraordinaria o sesión virtual, en un máximo de </w:t>
            </w:r>
            <w:r w:rsidR="008E5517" w:rsidRPr="007D7001">
              <w:rPr>
                <w:rStyle w:val="hps"/>
                <w:rFonts w:cstheme="minorHAnsi"/>
              </w:rPr>
              <w:t xml:space="preserve">3 días hábiles </w:t>
            </w:r>
            <w:r w:rsidRPr="007D7001">
              <w:rPr>
                <w:rFonts w:cstheme="minorHAnsi"/>
              </w:rPr>
              <w:t>después de que se haya recibido las correcciones de parte de los investigadores. Los revisores designados tendrán la responsabilidad de verificar y confirmar ante los demás miembros si consideran que han sido satisfactorias las correcciones realizadas por los investigadores, a manera de agilizar la revisión de las correcciones y la decisión del comité.</w:t>
            </w:r>
            <w:r w:rsidR="004016CC" w:rsidRPr="007D7001">
              <w:rPr>
                <w:rFonts w:cstheme="minorHAnsi"/>
              </w:rPr>
              <w:t xml:space="preserve"> </w:t>
            </w:r>
          </w:p>
          <w:p w14:paraId="75EF7C61" w14:textId="0667A00D" w:rsidR="00420412" w:rsidRPr="007D7001" w:rsidRDefault="00420412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</w:rPr>
              <w:t>Si las correcciones son de forma, las mismas serán revisadas por los miembros revisores y El/la Presidente del CNBI y si</w:t>
            </w:r>
            <w:r w:rsidR="00B144AC" w:rsidRPr="007D7001">
              <w:rPr>
                <w:rStyle w:val="hps"/>
                <w:rFonts w:cstheme="minorHAnsi"/>
              </w:rPr>
              <w:t xml:space="preserve"> los investigadores</w:t>
            </w:r>
            <w:r w:rsidRPr="007D7001">
              <w:rPr>
                <w:rStyle w:val="hps"/>
                <w:rFonts w:cstheme="minorHAnsi"/>
              </w:rPr>
              <w:t xml:space="preserve"> cumplen con lo solicitado, se aprueba el protocolo con fecha de la reunión extraordinaria donde fue revisado originalmente sin que se convoque otra reunión para esto.  </w:t>
            </w:r>
            <w:r w:rsidR="006D4004" w:rsidRPr="007D7001">
              <w:rPr>
                <w:rStyle w:val="hps"/>
                <w:rFonts w:cstheme="minorHAnsi"/>
              </w:rPr>
              <w:t xml:space="preserve">De no enviar las respuestas en un periodo de 1 semana, se anula la aprobación condicional y el estudio debe volver a revisión en el pleno del CNBI. </w:t>
            </w:r>
          </w:p>
          <w:p w14:paraId="5BCF16A0" w14:textId="13F5D4A3" w:rsidR="004016CC" w:rsidRPr="007D7001" w:rsidRDefault="004016CC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</w:rPr>
              <w:t xml:space="preserve">Si el investigador no responde a los comentarios realizados por el CNBI en el tiempo establecido, el estudio pasará a ser revisado </w:t>
            </w:r>
            <w:r w:rsidR="00196E49" w:rsidRPr="007D7001">
              <w:rPr>
                <w:rStyle w:val="hps"/>
                <w:rFonts w:cstheme="minorHAnsi"/>
              </w:rPr>
              <w:t xml:space="preserve">en las reuniones ordinarias del CNBI. </w:t>
            </w:r>
          </w:p>
          <w:p w14:paraId="20264DFE" w14:textId="1DB91BB4" w:rsidR="0072205D" w:rsidRPr="007D7001" w:rsidRDefault="001C47BD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</w:rPr>
              <w:t>EI</w:t>
            </w:r>
            <w:r w:rsidR="004B4E46" w:rsidRPr="007D7001">
              <w:rPr>
                <w:rStyle w:val="hps"/>
                <w:rFonts w:cstheme="minorHAnsi"/>
              </w:rPr>
              <w:t xml:space="preserve"> </w:t>
            </w:r>
            <w:r w:rsidR="00E43F5D" w:rsidRPr="007D7001">
              <w:rPr>
                <w:rStyle w:val="hps"/>
                <w:rFonts w:cstheme="minorHAnsi"/>
              </w:rPr>
              <w:t xml:space="preserve">CNBI </w:t>
            </w:r>
            <w:r w:rsidR="00B727AE" w:rsidRPr="007D7001">
              <w:rPr>
                <w:rStyle w:val="hps"/>
                <w:rFonts w:cstheme="minorHAnsi"/>
              </w:rPr>
              <w:t>delegará, en los casos señalados en el punto catorce (14),</w:t>
            </w:r>
            <w:r w:rsidR="004B4E46" w:rsidRPr="007D7001">
              <w:rPr>
                <w:rStyle w:val="hps"/>
                <w:rFonts w:cstheme="minorHAnsi"/>
              </w:rPr>
              <w:t xml:space="preserve"> </w:t>
            </w:r>
            <w:r w:rsidR="004B4E46" w:rsidRPr="00F74169">
              <w:rPr>
                <w:rStyle w:val="hps"/>
                <w:rFonts w:cstheme="minorHAnsi"/>
              </w:rPr>
              <w:t>la revisión de los protocolos relacionados con emergencia, desastre o brotes de enfermedades</w:t>
            </w:r>
            <w:r w:rsidRPr="007D7001">
              <w:rPr>
                <w:rStyle w:val="hps"/>
                <w:rFonts w:cstheme="minorHAnsi"/>
              </w:rPr>
              <w:t xml:space="preserve"> a los</w:t>
            </w:r>
            <w:r w:rsidR="00E43F5D" w:rsidRPr="007D7001">
              <w:rPr>
                <w:rStyle w:val="hps"/>
                <w:rFonts w:cstheme="minorHAnsi"/>
              </w:rPr>
              <w:t xml:space="preserve"> siguientes </w:t>
            </w:r>
            <w:r w:rsidR="003C763C" w:rsidRPr="007D7001">
              <w:rPr>
                <w:rStyle w:val="hps"/>
                <w:rFonts w:cstheme="minorHAnsi"/>
              </w:rPr>
              <w:t xml:space="preserve">Comités Institucionales: </w:t>
            </w:r>
          </w:p>
          <w:p w14:paraId="47E03B20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0F2FC492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0348023B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60BEA217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71016A9F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47181AF2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4C16F222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5A3E296D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2373B3F1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0D23E44C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75BEDA00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5DBDF972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09A73531" w14:textId="77777777" w:rsidR="002C6349" w:rsidRPr="007D7001" w:rsidRDefault="002C6349" w:rsidP="00386A02">
            <w:pPr>
              <w:pStyle w:val="Prrafodelista"/>
              <w:numPr>
                <w:ilvl w:val="0"/>
                <w:numId w:val="6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3C79CB08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5FADDA04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0EFD4EB9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709EB908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29AFD1FF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0689B856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550ACD87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0FBCF743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79527A4D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42CF01C9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61493151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26AA7E5B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1BAF6A8B" w14:textId="77777777" w:rsidR="004513B3" w:rsidRPr="007D7001" w:rsidRDefault="004513B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5C500D18" w14:textId="75BE2C1E" w:rsidR="0072205D" w:rsidRPr="007D7001" w:rsidRDefault="003C763C" w:rsidP="00386A02">
            <w:pPr>
              <w:pStyle w:val="Prrafodelista"/>
              <w:numPr>
                <w:ilvl w:val="1"/>
                <w:numId w:val="8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Comité de bioética de la inve</w:t>
            </w:r>
            <w:r w:rsidR="0072205D" w:rsidRPr="007D7001">
              <w:rPr>
                <w:rStyle w:val="hps"/>
                <w:rFonts w:cstheme="minorHAnsi"/>
                <w:bCs/>
              </w:rPr>
              <w:t>stigación del Hospital del Niño</w:t>
            </w:r>
            <w:r w:rsidRPr="007D7001">
              <w:rPr>
                <w:rStyle w:val="hps"/>
                <w:rFonts w:cstheme="minorHAnsi"/>
                <w:bCs/>
              </w:rPr>
              <w:t xml:space="preserve"> </w:t>
            </w:r>
          </w:p>
          <w:p w14:paraId="249479CB" w14:textId="77777777" w:rsidR="0072205D" w:rsidRPr="007D7001" w:rsidRDefault="003C763C" w:rsidP="00386A02">
            <w:pPr>
              <w:pStyle w:val="Prrafodelista"/>
              <w:numPr>
                <w:ilvl w:val="1"/>
                <w:numId w:val="8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Comité de bioética</w:t>
            </w:r>
            <w:r w:rsidR="0072205D" w:rsidRPr="007D7001">
              <w:rPr>
                <w:rStyle w:val="hps"/>
                <w:rFonts w:cstheme="minorHAnsi"/>
                <w:bCs/>
              </w:rPr>
              <w:t xml:space="preserve"> de la investigación del ICGES</w:t>
            </w:r>
          </w:p>
          <w:p w14:paraId="276369D2" w14:textId="7D62A0E2" w:rsidR="0072205D" w:rsidRPr="007D7001" w:rsidRDefault="003C763C" w:rsidP="00386A02">
            <w:pPr>
              <w:pStyle w:val="Prrafodelista"/>
              <w:numPr>
                <w:ilvl w:val="1"/>
                <w:numId w:val="8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Comité de bioética de la investigaci</w:t>
            </w:r>
            <w:r w:rsidR="0072205D" w:rsidRPr="007D7001">
              <w:rPr>
                <w:rStyle w:val="hps"/>
                <w:rFonts w:cstheme="minorHAnsi"/>
                <w:bCs/>
              </w:rPr>
              <w:t>ón de la Universidad de Panamá</w:t>
            </w:r>
          </w:p>
          <w:p w14:paraId="4BC2F636" w14:textId="172B07F9" w:rsidR="00061E78" w:rsidRPr="007D7001" w:rsidRDefault="00061E78" w:rsidP="00386A02">
            <w:pPr>
              <w:pStyle w:val="Prrafodelista"/>
              <w:numPr>
                <w:ilvl w:val="1"/>
                <w:numId w:val="8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Comité Institucional de Ética de la Investigación de la Caja de Seguro Social</w:t>
            </w:r>
          </w:p>
          <w:p w14:paraId="1A22A5A5" w14:textId="77777777" w:rsidR="0072205D" w:rsidRPr="007D7001" w:rsidRDefault="003C763C" w:rsidP="00386A02">
            <w:pPr>
              <w:pStyle w:val="Prrafodelista"/>
              <w:numPr>
                <w:ilvl w:val="1"/>
                <w:numId w:val="8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Comité de bio</w:t>
            </w:r>
            <w:r w:rsidR="00414E0F" w:rsidRPr="007D7001">
              <w:rPr>
                <w:rStyle w:val="hps"/>
                <w:rFonts w:cstheme="minorHAnsi"/>
                <w:bCs/>
              </w:rPr>
              <w:t>ética en</w:t>
            </w:r>
            <w:r w:rsidRPr="007D7001">
              <w:rPr>
                <w:rStyle w:val="hps"/>
                <w:rFonts w:cstheme="minorHAnsi"/>
                <w:bCs/>
              </w:rPr>
              <w:t xml:space="preserve"> investigación del Hospital Punta Pacífica</w:t>
            </w:r>
            <w:r w:rsidR="0072205D" w:rsidRPr="007D7001">
              <w:rPr>
                <w:rStyle w:val="hps"/>
                <w:rFonts w:cstheme="minorHAnsi"/>
                <w:bCs/>
              </w:rPr>
              <w:t xml:space="preserve"> </w:t>
            </w:r>
          </w:p>
          <w:p w14:paraId="434C5400" w14:textId="32A1346B" w:rsidR="0072205D" w:rsidRPr="007D7001" w:rsidRDefault="008E5517" w:rsidP="00386A02">
            <w:pPr>
              <w:pStyle w:val="Prrafodelista"/>
              <w:numPr>
                <w:ilvl w:val="1"/>
                <w:numId w:val="8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Comité de bioética de la investigación d</w:t>
            </w:r>
            <w:r w:rsidR="0072205D" w:rsidRPr="007D7001">
              <w:rPr>
                <w:rStyle w:val="hps"/>
                <w:rFonts w:cstheme="minorHAnsi"/>
                <w:bCs/>
              </w:rPr>
              <w:t xml:space="preserve">e la Universidad de Santander </w:t>
            </w:r>
          </w:p>
          <w:p w14:paraId="6D64B420" w14:textId="19F3FAD2" w:rsidR="00C06D93" w:rsidRPr="007D7001" w:rsidRDefault="00C06D93" w:rsidP="00386A02">
            <w:pPr>
              <w:pStyle w:val="Prrafodelista"/>
              <w:numPr>
                <w:ilvl w:val="1"/>
                <w:numId w:val="8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Comité de bioética de la investigación del Hospital Dr. Luis “Chicho” Fábrega</w:t>
            </w:r>
          </w:p>
          <w:p w14:paraId="06F5F58C" w14:textId="1B5C74D0" w:rsidR="001C47BD" w:rsidRPr="007D7001" w:rsidRDefault="001C47BD" w:rsidP="0072205D">
            <w:pPr>
              <w:pStyle w:val="Prrafodelista"/>
              <w:tabs>
                <w:tab w:val="left" w:pos="567"/>
              </w:tabs>
              <w:ind w:left="1080"/>
              <w:jc w:val="both"/>
              <w:rPr>
                <w:rStyle w:val="hps"/>
                <w:rFonts w:cstheme="minorHAnsi"/>
                <w:bCs/>
              </w:rPr>
            </w:pPr>
          </w:p>
          <w:p w14:paraId="7C292DD1" w14:textId="74C3F85F" w:rsidR="00E43F5D" w:rsidRPr="007D7001" w:rsidRDefault="00E43F5D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</w:rPr>
              <w:t>Esta delegación se hará en los en los siguientes casos:</w:t>
            </w:r>
          </w:p>
          <w:p w14:paraId="0730D5F4" w14:textId="77777777" w:rsidR="00C06D93" w:rsidRPr="007D7001" w:rsidRDefault="00C06D9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48FAFFD4" w14:textId="1BE91546" w:rsidR="004B4E46" w:rsidRPr="007D7001" w:rsidRDefault="004B4E46" w:rsidP="00386A02">
            <w:pPr>
              <w:pStyle w:val="Prrafodelista"/>
              <w:numPr>
                <w:ilvl w:val="1"/>
                <w:numId w:val="9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 xml:space="preserve">No son de alto riesgo: observacionales o </w:t>
            </w:r>
            <w:r w:rsidR="00457647" w:rsidRPr="007D7001">
              <w:rPr>
                <w:rStyle w:val="hps"/>
                <w:rFonts w:cstheme="minorHAnsi"/>
                <w:bCs/>
              </w:rPr>
              <w:t>experimentales que no implican</w:t>
            </w:r>
            <w:r w:rsidR="00990C00">
              <w:rPr>
                <w:rStyle w:val="hps"/>
                <w:rFonts w:cstheme="minorHAnsi"/>
                <w:bCs/>
              </w:rPr>
              <w:t xml:space="preserve"> el </w:t>
            </w:r>
            <w:r w:rsidR="00990C00" w:rsidRPr="00F74169">
              <w:rPr>
                <w:rStyle w:val="hps"/>
                <w:rFonts w:cstheme="minorHAnsi"/>
                <w:bCs/>
              </w:rPr>
              <w:t xml:space="preserve">desarrollo de </w:t>
            </w:r>
            <w:r w:rsidR="00457647" w:rsidRPr="00F74169">
              <w:rPr>
                <w:rStyle w:val="hps"/>
                <w:rFonts w:cstheme="minorHAnsi"/>
                <w:bCs/>
              </w:rPr>
              <w:t>nueva</w:t>
            </w:r>
            <w:r w:rsidR="00990C00" w:rsidRPr="00F74169">
              <w:rPr>
                <w:rStyle w:val="hps"/>
                <w:rFonts w:cstheme="minorHAnsi"/>
                <w:bCs/>
              </w:rPr>
              <w:t>s intervenciones terapéuticas o</w:t>
            </w:r>
            <w:r w:rsidR="00457647" w:rsidRPr="00F74169">
              <w:rPr>
                <w:rStyle w:val="hps"/>
                <w:rFonts w:cstheme="minorHAnsi"/>
                <w:bCs/>
              </w:rPr>
              <w:t xml:space="preserve"> producto</w:t>
            </w:r>
            <w:r w:rsidR="00EA05E0" w:rsidRPr="007D7001">
              <w:rPr>
                <w:rStyle w:val="hps"/>
                <w:rFonts w:cstheme="minorHAnsi"/>
                <w:bCs/>
              </w:rPr>
              <w:t xml:space="preserve"> comercial</w:t>
            </w:r>
            <w:r w:rsidR="00C06D93" w:rsidRPr="007D7001">
              <w:rPr>
                <w:rStyle w:val="hps"/>
                <w:rFonts w:cstheme="minorHAnsi"/>
                <w:bCs/>
              </w:rPr>
              <w:t>.</w:t>
            </w:r>
          </w:p>
          <w:p w14:paraId="22355974" w14:textId="726B7A50" w:rsidR="004B4E46" w:rsidRPr="007D7001" w:rsidRDefault="004B4E46" w:rsidP="00386A02">
            <w:pPr>
              <w:pStyle w:val="Prrafodelista"/>
              <w:numPr>
                <w:ilvl w:val="1"/>
                <w:numId w:val="9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La motivación de la investigación responde a cumplir con requisito académico</w:t>
            </w:r>
            <w:r w:rsidR="00C06D93" w:rsidRPr="007D7001">
              <w:rPr>
                <w:rStyle w:val="hps"/>
                <w:rFonts w:cstheme="minorHAnsi"/>
                <w:bCs/>
              </w:rPr>
              <w:t>.</w:t>
            </w:r>
          </w:p>
          <w:p w14:paraId="34AADC24" w14:textId="096C8772" w:rsidR="00457647" w:rsidRPr="007D7001" w:rsidRDefault="00457647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 xml:space="preserve">La delegación </w:t>
            </w:r>
            <w:r w:rsidR="00B727AE" w:rsidRPr="007D7001">
              <w:rPr>
                <w:rStyle w:val="hps"/>
                <w:rFonts w:cstheme="minorHAnsi"/>
                <w:bCs/>
              </w:rPr>
              <w:t>a</w:t>
            </w:r>
            <w:r w:rsidRPr="007D7001">
              <w:rPr>
                <w:rStyle w:val="hps"/>
                <w:rFonts w:cstheme="minorHAnsi"/>
                <w:bCs/>
              </w:rPr>
              <w:t xml:space="preserve"> los comités institucionales</w:t>
            </w:r>
            <w:r w:rsidR="00EA05E0" w:rsidRPr="007D7001">
              <w:rPr>
                <w:rStyle w:val="hps"/>
                <w:rFonts w:cstheme="minorHAnsi"/>
                <w:bCs/>
              </w:rPr>
              <w:t xml:space="preserve"> será realizada de acuerdo con los siguientes criterios:</w:t>
            </w:r>
          </w:p>
          <w:p w14:paraId="40D4E607" w14:textId="77777777" w:rsidR="00C06D93" w:rsidRPr="007D7001" w:rsidRDefault="00C06D9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2E9C5095" w14:textId="61E24744" w:rsidR="0015324F" w:rsidRPr="007D7001" w:rsidRDefault="00EA05E0" w:rsidP="00386A02">
            <w:pPr>
              <w:pStyle w:val="Prrafodelista"/>
              <w:numPr>
                <w:ilvl w:val="1"/>
                <w:numId w:val="10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Responden a formación profesional</w:t>
            </w:r>
            <w:r w:rsidR="00B727AE" w:rsidRPr="007D7001">
              <w:rPr>
                <w:rStyle w:val="hps"/>
                <w:rFonts w:cstheme="minorHAnsi"/>
                <w:bCs/>
              </w:rPr>
              <w:t>,</w:t>
            </w:r>
            <w:r w:rsidRPr="007D7001">
              <w:rPr>
                <w:rStyle w:val="hps"/>
                <w:rFonts w:cstheme="minorHAnsi"/>
                <w:bCs/>
              </w:rPr>
              <w:t xml:space="preserve"> como médicos residentes e internos</w:t>
            </w:r>
            <w:r w:rsidR="00B727AE" w:rsidRPr="007D7001">
              <w:rPr>
                <w:rStyle w:val="hps"/>
                <w:rFonts w:cstheme="minorHAnsi"/>
                <w:bCs/>
              </w:rPr>
              <w:t>,</w:t>
            </w:r>
            <w:r w:rsidRPr="007D7001">
              <w:rPr>
                <w:rStyle w:val="hps"/>
                <w:rFonts w:cstheme="minorHAnsi"/>
                <w:bCs/>
              </w:rPr>
              <w:t xml:space="preserve"> hacia comités de instituciones de salud</w:t>
            </w:r>
            <w:r w:rsidR="00B727AE" w:rsidRPr="007D7001">
              <w:rPr>
                <w:rStyle w:val="hps"/>
                <w:rFonts w:cstheme="minorHAnsi"/>
                <w:bCs/>
              </w:rPr>
              <w:t>.</w:t>
            </w:r>
          </w:p>
          <w:p w14:paraId="443B830D" w14:textId="77777777" w:rsidR="0015324F" w:rsidRPr="007D7001" w:rsidRDefault="00EA05E0" w:rsidP="00386A02">
            <w:pPr>
              <w:pStyle w:val="Prrafodelista"/>
              <w:numPr>
                <w:ilvl w:val="1"/>
                <w:numId w:val="10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Responden a formación académica como licenciaturas, maestrías</w:t>
            </w:r>
            <w:r w:rsidR="00B727AE" w:rsidRPr="007D7001">
              <w:rPr>
                <w:rStyle w:val="hps"/>
                <w:rFonts w:cstheme="minorHAnsi"/>
                <w:bCs/>
              </w:rPr>
              <w:t>,</w:t>
            </w:r>
            <w:r w:rsidRPr="007D7001">
              <w:rPr>
                <w:rStyle w:val="hps"/>
                <w:rFonts w:cstheme="minorHAnsi"/>
                <w:bCs/>
              </w:rPr>
              <w:t xml:space="preserve"> doctorados</w:t>
            </w:r>
            <w:r w:rsidR="00B727AE" w:rsidRPr="007D7001">
              <w:rPr>
                <w:rStyle w:val="hps"/>
                <w:rFonts w:cstheme="minorHAnsi"/>
                <w:bCs/>
              </w:rPr>
              <w:t>,</w:t>
            </w:r>
            <w:r w:rsidRPr="007D7001">
              <w:rPr>
                <w:rStyle w:val="hps"/>
                <w:rFonts w:cstheme="minorHAnsi"/>
                <w:bCs/>
              </w:rPr>
              <w:t xml:space="preserve"> hacia comités en instituciones universitarias</w:t>
            </w:r>
            <w:r w:rsidR="00B727AE" w:rsidRPr="007D7001">
              <w:rPr>
                <w:rStyle w:val="hps"/>
                <w:rFonts w:cstheme="minorHAnsi"/>
                <w:bCs/>
              </w:rPr>
              <w:t>.</w:t>
            </w:r>
          </w:p>
          <w:p w14:paraId="531BDFC3" w14:textId="56C44FF0" w:rsidR="00EA05E0" w:rsidRPr="007D7001" w:rsidRDefault="00EA05E0" w:rsidP="00386A02">
            <w:pPr>
              <w:pStyle w:val="Prrafodelista"/>
              <w:numPr>
                <w:ilvl w:val="1"/>
                <w:numId w:val="10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Responden a una iniciativa propia</w:t>
            </w:r>
            <w:r w:rsidR="00B727AE" w:rsidRPr="007D7001">
              <w:rPr>
                <w:rStyle w:val="hps"/>
                <w:rFonts w:cstheme="minorHAnsi"/>
                <w:bCs/>
              </w:rPr>
              <w:t>,</w:t>
            </w:r>
            <w:r w:rsidRPr="007D7001">
              <w:rPr>
                <w:rStyle w:val="hps"/>
                <w:rFonts w:cstheme="minorHAnsi"/>
                <w:bCs/>
              </w:rPr>
              <w:t xml:space="preserve"> o colaboración internacional</w:t>
            </w:r>
            <w:r w:rsidR="00B727AE" w:rsidRPr="007D7001">
              <w:rPr>
                <w:rStyle w:val="hps"/>
                <w:rFonts w:cstheme="minorHAnsi"/>
                <w:bCs/>
              </w:rPr>
              <w:t>,</w:t>
            </w:r>
            <w:r w:rsidRPr="007D7001">
              <w:rPr>
                <w:rStyle w:val="hps"/>
                <w:rFonts w:cstheme="minorHAnsi"/>
                <w:bCs/>
              </w:rPr>
              <w:t xml:space="preserve"> o son financiados por entidades </w:t>
            </w:r>
            <w:r w:rsidR="00B727AE" w:rsidRPr="007D7001">
              <w:rPr>
                <w:rStyle w:val="hps"/>
                <w:rFonts w:cstheme="minorHAnsi"/>
                <w:bCs/>
              </w:rPr>
              <w:t>sin fines de lucro,</w:t>
            </w:r>
            <w:r w:rsidRPr="007D7001">
              <w:rPr>
                <w:rStyle w:val="hps"/>
                <w:rFonts w:cstheme="minorHAnsi"/>
                <w:bCs/>
              </w:rPr>
              <w:t xml:space="preserve"> hacia el comité </w:t>
            </w:r>
            <w:r w:rsidR="00097BF5" w:rsidRPr="007D7001">
              <w:rPr>
                <w:rStyle w:val="hps"/>
                <w:rFonts w:cstheme="minorHAnsi"/>
                <w:bCs/>
              </w:rPr>
              <w:t>de mayor experticia en la temática correspondiente</w:t>
            </w:r>
            <w:r w:rsidR="00B727AE" w:rsidRPr="007D7001">
              <w:rPr>
                <w:rStyle w:val="hps"/>
                <w:rFonts w:cstheme="minorHAnsi"/>
                <w:bCs/>
              </w:rPr>
              <w:t>.</w:t>
            </w:r>
          </w:p>
          <w:p w14:paraId="5C7BF0BE" w14:textId="38E35276" w:rsidR="0076156B" w:rsidRPr="007D7001" w:rsidRDefault="0076156B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  <w:bCs/>
                <w:strike/>
              </w:rPr>
            </w:pPr>
            <w:r w:rsidRPr="007D7001">
              <w:rPr>
                <w:rStyle w:val="hps"/>
                <w:rFonts w:cstheme="minorHAnsi"/>
              </w:rPr>
              <w:t xml:space="preserve">La delegación de revisión a los comités institucionales </w:t>
            </w:r>
            <w:r w:rsidR="0015324F" w:rsidRPr="007D7001">
              <w:rPr>
                <w:rStyle w:val="hps"/>
                <w:rFonts w:cstheme="minorHAnsi"/>
              </w:rPr>
              <w:t xml:space="preserve">comprende todo el proceso, </w:t>
            </w:r>
            <w:r w:rsidRPr="007D7001">
              <w:rPr>
                <w:rStyle w:val="hps"/>
                <w:rFonts w:cstheme="minorHAnsi"/>
              </w:rPr>
              <w:t xml:space="preserve">desde la asignación de revisión del estudio, hasta su aprobación, </w:t>
            </w:r>
            <w:r w:rsidR="009D306D" w:rsidRPr="007D7001">
              <w:rPr>
                <w:rStyle w:val="hps"/>
                <w:rFonts w:cstheme="minorHAnsi"/>
              </w:rPr>
              <w:t>cumpliendo con</w:t>
            </w:r>
            <w:r w:rsidR="0015324F" w:rsidRPr="007D7001">
              <w:rPr>
                <w:rStyle w:val="hps"/>
                <w:rFonts w:cstheme="minorHAnsi"/>
              </w:rPr>
              <w:t xml:space="preserve"> el siguiente procedimiento</w:t>
            </w:r>
            <w:r w:rsidR="002C6349" w:rsidRPr="007D7001">
              <w:rPr>
                <w:rStyle w:val="hps"/>
                <w:rFonts w:cstheme="minorHAnsi"/>
              </w:rPr>
              <w:t>:</w:t>
            </w:r>
            <w:r w:rsidRPr="007D7001">
              <w:rPr>
                <w:rStyle w:val="hps"/>
                <w:rFonts w:cstheme="minorHAnsi"/>
                <w:strike/>
              </w:rPr>
              <w:t xml:space="preserve">  </w:t>
            </w:r>
          </w:p>
          <w:p w14:paraId="2554B424" w14:textId="77777777" w:rsidR="00C06D93" w:rsidRPr="007D7001" w:rsidRDefault="00C06D93" w:rsidP="00386A02">
            <w:pPr>
              <w:pStyle w:val="Prrafodelista"/>
              <w:numPr>
                <w:ilvl w:val="0"/>
                <w:numId w:val="7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  <w:vanish/>
              </w:rPr>
            </w:pPr>
          </w:p>
          <w:p w14:paraId="149BB62F" w14:textId="241DC67F" w:rsidR="00197694" w:rsidRPr="007D7001" w:rsidRDefault="0076156B" w:rsidP="00386A02">
            <w:pPr>
              <w:pStyle w:val="Prrafodelist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Se informará al investigador principal que su estudio será remitido a revisión por un comit</w:t>
            </w:r>
            <w:r w:rsidR="00197694" w:rsidRPr="007D7001">
              <w:rPr>
                <w:rStyle w:val="hps"/>
                <w:rFonts w:cstheme="minorHAnsi"/>
                <w:bCs/>
              </w:rPr>
              <w:t>é institucional.</w:t>
            </w:r>
          </w:p>
          <w:p w14:paraId="5C27F066" w14:textId="0B4D4431" w:rsidR="00197694" w:rsidRPr="007D7001" w:rsidRDefault="00197694" w:rsidP="00386A02">
            <w:pPr>
              <w:pStyle w:val="Prrafodelist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 xml:space="preserve">Se remiten los documentos del protocolo al comité institucional </w:t>
            </w:r>
            <w:r w:rsidR="0076156B" w:rsidRPr="007D7001">
              <w:rPr>
                <w:rStyle w:val="hps"/>
                <w:rFonts w:cstheme="minorHAnsi"/>
                <w:bCs/>
              </w:rPr>
              <w:t xml:space="preserve">que llevará el proceso de revisión en conjunto con el investigador. </w:t>
            </w:r>
          </w:p>
          <w:p w14:paraId="2E3DCD70" w14:textId="01E28FD5" w:rsidR="00531ADD" w:rsidRPr="007D7001" w:rsidRDefault="00531ADD" w:rsidP="00386A02">
            <w:pPr>
              <w:pStyle w:val="Prrafodelist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>La revisión de estos estudios debe realizarse de acuerdo con los tiempos establecidos en este procedimiento.</w:t>
            </w:r>
          </w:p>
          <w:p w14:paraId="3E2461F4" w14:textId="79C148DE" w:rsidR="00197694" w:rsidRPr="007D7001" w:rsidRDefault="0076156B" w:rsidP="00386A02">
            <w:pPr>
              <w:pStyle w:val="Prrafodelist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 xml:space="preserve">El comité </w:t>
            </w:r>
            <w:r w:rsidR="00197694" w:rsidRPr="007D7001">
              <w:rPr>
                <w:rStyle w:val="hps"/>
                <w:rFonts w:cstheme="minorHAnsi"/>
                <w:bCs/>
              </w:rPr>
              <w:t xml:space="preserve">institucional </w:t>
            </w:r>
            <w:r w:rsidRPr="007D7001">
              <w:rPr>
                <w:rStyle w:val="hps"/>
                <w:rFonts w:cstheme="minorHAnsi"/>
                <w:bCs/>
              </w:rPr>
              <w:t xml:space="preserve">al momento de </w:t>
            </w:r>
            <w:r w:rsidR="007D53BA" w:rsidRPr="007D7001">
              <w:rPr>
                <w:rStyle w:val="hps"/>
                <w:rFonts w:cstheme="minorHAnsi"/>
                <w:bCs/>
              </w:rPr>
              <w:t xml:space="preserve">la </w:t>
            </w:r>
            <w:r w:rsidRPr="007D7001">
              <w:rPr>
                <w:rStyle w:val="hps"/>
                <w:rFonts w:cstheme="minorHAnsi"/>
                <w:bCs/>
              </w:rPr>
              <w:t>aprobación</w:t>
            </w:r>
            <w:r w:rsidR="007D53BA" w:rsidRPr="007D7001">
              <w:rPr>
                <w:rStyle w:val="hps"/>
                <w:rFonts w:cstheme="minorHAnsi"/>
                <w:bCs/>
              </w:rPr>
              <w:t xml:space="preserve"> del estudio</w:t>
            </w:r>
            <w:r w:rsidRPr="007D7001">
              <w:rPr>
                <w:rStyle w:val="hps"/>
                <w:rFonts w:cstheme="minorHAnsi"/>
                <w:bCs/>
              </w:rPr>
              <w:t xml:space="preserve">, </w:t>
            </w:r>
            <w:r w:rsidR="00197694" w:rsidRPr="007D7001">
              <w:rPr>
                <w:rStyle w:val="hps"/>
                <w:rFonts w:cstheme="minorHAnsi"/>
                <w:bCs/>
              </w:rPr>
              <w:t>debe indicar en su nota de aprobación que “Este comité ha sido designado por el CNBI para tomar esta decisión</w:t>
            </w:r>
            <w:r w:rsidR="0072205D" w:rsidRPr="007D7001">
              <w:rPr>
                <w:rStyle w:val="hps"/>
                <w:rFonts w:cstheme="minorHAnsi"/>
                <w:bCs/>
              </w:rPr>
              <w:t>”.</w:t>
            </w:r>
          </w:p>
          <w:p w14:paraId="0611EE14" w14:textId="3F29DB31" w:rsidR="009D306D" w:rsidRPr="007D7001" w:rsidRDefault="00197694" w:rsidP="007D7001">
            <w:pPr>
              <w:pStyle w:val="Prrafodelist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 xml:space="preserve">El comité institucional </w:t>
            </w:r>
            <w:r w:rsidR="0076156B" w:rsidRPr="007D7001">
              <w:rPr>
                <w:rStyle w:val="hps"/>
                <w:rFonts w:cstheme="minorHAnsi"/>
                <w:bCs/>
              </w:rPr>
              <w:t xml:space="preserve">enviará </w:t>
            </w:r>
            <w:r w:rsidR="004B4E46" w:rsidRPr="007D7001">
              <w:rPr>
                <w:rStyle w:val="hps"/>
                <w:rFonts w:cstheme="minorHAnsi"/>
                <w:bCs/>
              </w:rPr>
              <w:t xml:space="preserve">al CNBI </w:t>
            </w:r>
            <w:r w:rsidR="0076156B" w:rsidRPr="007D7001">
              <w:rPr>
                <w:rStyle w:val="hps"/>
                <w:rFonts w:cstheme="minorHAnsi"/>
                <w:bCs/>
              </w:rPr>
              <w:t>un reporte</w:t>
            </w:r>
            <w:r w:rsidR="00AE332C" w:rsidRPr="007D7001">
              <w:rPr>
                <w:rStyle w:val="hps"/>
                <w:rFonts w:cstheme="minorHAnsi"/>
                <w:bCs/>
              </w:rPr>
              <w:t xml:space="preserve"> </w:t>
            </w:r>
            <w:r w:rsidR="0076156B" w:rsidRPr="007D7001">
              <w:rPr>
                <w:rStyle w:val="hps"/>
                <w:rFonts w:cstheme="minorHAnsi"/>
                <w:bCs/>
              </w:rPr>
              <w:t xml:space="preserve">de los protocolos </w:t>
            </w:r>
            <w:r w:rsidR="009D306D" w:rsidRPr="007D7001">
              <w:rPr>
                <w:rStyle w:val="hps"/>
                <w:rFonts w:cstheme="minorHAnsi"/>
                <w:bCs/>
              </w:rPr>
              <w:t xml:space="preserve">asignados </w:t>
            </w:r>
            <w:r w:rsidR="0076156B" w:rsidRPr="007D7001">
              <w:rPr>
                <w:rStyle w:val="hps"/>
                <w:rFonts w:cstheme="minorHAnsi"/>
                <w:bCs/>
              </w:rPr>
              <w:t>aprobados</w:t>
            </w:r>
            <w:r w:rsidR="00AE332C" w:rsidRPr="007D7001">
              <w:rPr>
                <w:rStyle w:val="hps"/>
                <w:rFonts w:cstheme="minorHAnsi"/>
                <w:bCs/>
              </w:rPr>
              <w:t xml:space="preserve"> y no aprobados</w:t>
            </w:r>
            <w:r w:rsidR="009D306D" w:rsidRPr="007D7001">
              <w:rPr>
                <w:rStyle w:val="hps"/>
                <w:rFonts w:cstheme="minorHAnsi"/>
                <w:bCs/>
              </w:rPr>
              <w:t xml:space="preserve"> </w:t>
            </w:r>
            <w:r w:rsidR="00386A02" w:rsidRPr="007D7001">
              <w:rPr>
                <w:rStyle w:val="hps"/>
                <w:rFonts w:cstheme="minorHAnsi"/>
                <w:bCs/>
              </w:rPr>
              <w:t>(</w:t>
            </w:r>
            <w:r w:rsidR="007D7001" w:rsidRPr="007D7001">
              <w:rPr>
                <w:rStyle w:val="hps"/>
                <w:rFonts w:cstheme="minorHAnsi"/>
                <w:bCs/>
              </w:rPr>
              <w:t>PT-04</w:t>
            </w:r>
            <w:r w:rsidR="00A703D6">
              <w:rPr>
                <w:rStyle w:val="hps"/>
                <w:rFonts w:cstheme="minorHAnsi"/>
                <w:bCs/>
              </w:rPr>
              <w:t>2</w:t>
            </w:r>
            <w:r w:rsidR="007D7001" w:rsidRPr="007D7001">
              <w:rPr>
                <w:rStyle w:val="hps"/>
                <w:rFonts w:cstheme="minorHAnsi"/>
                <w:bCs/>
              </w:rPr>
              <w:t xml:space="preserve"> Reporte de Seguimiento de Estudios Relacionados con situación de emergencia, desastre o brote de enfermedades ante el CNBI</w:t>
            </w:r>
            <w:r w:rsidR="00386A02" w:rsidRPr="007D7001">
              <w:rPr>
                <w:rStyle w:val="hps"/>
                <w:rFonts w:cstheme="minorHAnsi"/>
                <w:bCs/>
              </w:rPr>
              <w:t>).</w:t>
            </w:r>
            <w:r w:rsidR="00457647" w:rsidRPr="007D7001">
              <w:rPr>
                <w:rStyle w:val="hps"/>
                <w:rFonts w:cstheme="minorHAnsi"/>
                <w:bCs/>
              </w:rPr>
              <w:t xml:space="preserve"> </w:t>
            </w:r>
            <w:r w:rsidR="00386A02" w:rsidRPr="007D7001">
              <w:rPr>
                <w:rStyle w:val="hps"/>
                <w:rFonts w:cstheme="minorHAnsi"/>
                <w:bCs/>
              </w:rPr>
              <w:t>Este reporte debe ser enviado u</w:t>
            </w:r>
            <w:r w:rsidR="00457647" w:rsidRPr="007D7001">
              <w:rPr>
                <w:rStyle w:val="hps"/>
                <w:rFonts w:cstheme="minorHAnsi"/>
                <w:bCs/>
              </w:rPr>
              <w:t xml:space="preserve">na vez </w:t>
            </w:r>
            <w:r w:rsidR="00386A02" w:rsidRPr="007D7001">
              <w:rPr>
                <w:rStyle w:val="hps"/>
                <w:rFonts w:cstheme="minorHAnsi"/>
                <w:bCs/>
              </w:rPr>
              <w:t xml:space="preserve">se tome la decisión sobre el protocolo adjuntando </w:t>
            </w:r>
            <w:r w:rsidR="00B727AE" w:rsidRPr="007D7001">
              <w:rPr>
                <w:rStyle w:val="hps"/>
                <w:rFonts w:cstheme="minorHAnsi"/>
                <w:bCs/>
              </w:rPr>
              <w:t>copia de</w:t>
            </w:r>
            <w:r w:rsidR="00386A02" w:rsidRPr="007D7001">
              <w:rPr>
                <w:rStyle w:val="hps"/>
                <w:rFonts w:cstheme="minorHAnsi"/>
                <w:bCs/>
              </w:rPr>
              <w:t>l documento con</w:t>
            </w:r>
            <w:r w:rsidR="00B727AE" w:rsidRPr="007D7001">
              <w:rPr>
                <w:rStyle w:val="hps"/>
                <w:rFonts w:cstheme="minorHAnsi"/>
                <w:bCs/>
              </w:rPr>
              <w:t xml:space="preserve"> la decisión al CNBI. Esta debe incluir</w:t>
            </w:r>
            <w:r w:rsidR="00457647" w:rsidRPr="007D7001">
              <w:rPr>
                <w:rStyle w:val="hps"/>
                <w:rFonts w:cstheme="minorHAnsi"/>
                <w:bCs/>
              </w:rPr>
              <w:t xml:space="preserve"> la información del cumplimiento de los tiempos de revisión para este procedimiento</w:t>
            </w:r>
            <w:r w:rsidR="00EA05E0" w:rsidRPr="007D7001">
              <w:rPr>
                <w:rStyle w:val="hps"/>
                <w:rFonts w:cstheme="minorHAnsi"/>
                <w:bCs/>
              </w:rPr>
              <w:t>. Posterior a este primer</w:t>
            </w:r>
            <w:r w:rsidR="00097BF5" w:rsidRPr="007D7001">
              <w:rPr>
                <w:rStyle w:val="hps"/>
                <w:rFonts w:cstheme="minorHAnsi"/>
                <w:bCs/>
              </w:rPr>
              <w:t xml:space="preserve"> informe</w:t>
            </w:r>
            <w:r w:rsidR="00EA05E0" w:rsidRPr="007D7001">
              <w:rPr>
                <w:rStyle w:val="hps"/>
                <w:rFonts w:cstheme="minorHAnsi"/>
                <w:bCs/>
              </w:rPr>
              <w:t>, debe incluirse, separadam</w:t>
            </w:r>
            <w:r w:rsidR="00386A02" w:rsidRPr="007D7001">
              <w:rPr>
                <w:rStyle w:val="hps"/>
                <w:rFonts w:cstheme="minorHAnsi"/>
                <w:bCs/>
              </w:rPr>
              <w:t xml:space="preserve">ente, en los informes mensuales hasta su cierre. (PT-016-A Informe Mensual de Actividades al CNBI) </w:t>
            </w:r>
          </w:p>
          <w:p w14:paraId="576CA791" w14:textId="09CC84DE" w:rsidR="0076156B" w:rsidRPr="007D7001" w:rsidRDefault="00197694" w:rsidP="00386A02">
            <w:pPr>
              <w:pStyle w:val="Prrafodelist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  <w:bCs/>
              </w:rPr>
              <w:t xml:space="preserve">Ante cualquier duda sobre la decisión a tomar, el comité institucional podrá consultar al CNBI al igual que con los protocolos regulares. </w:t>
            </w:r>
            <w:r w:rsidR="0076156B" w:rsidRPr="007D7001">
              <w:rPr>
                <w:rStyle w:val="hps"/>
                <w:rFonts w:cstheme="minorHAnsi"/>
                <w:bCs/>
              </w:rPr>
              <w:t xml:space="preserve"> </w:t>
            </w:r>
          </w:p>
          <w:p w14:paraId="68550A22" w14:textId="031D0855" w:rsidR="008E5517" w:rsidRPr="007D7001" w:rsidRDefault="004016CC" w:rsidP="00386A02">
            <w:pPr>
              <w:pStyle w:val="Prrafodelista"/>
              <w:numPr>
                <w:ilvl w:val="1"/>
                <w:numId w:val="1"/>
              </w:numPr>
              <w:tabs>
                <w:tab w:val="left" w:pos="567"/>
              </w:tabs>
              <w:ind w:left="567" w:hanging="567"/>
              <w:jc w:val="both"/>
              <w:rPr>
                <w:rStyle w:val="hps"/>
                <w:rFonts w:cstheme="minorHAnsi"/>
                <w:bCs/>
              </w:rPr>
            </w:pPr>
            <w:r w:rsidRPr="007D7001">
              <w:rPr>
                <w:rStyle w:val="hps"/>
                <w:rFonts w:cstheme="minorHAnsi"/>
              </w:rPr>
              <w:lastRenderedPageBreak/>
              <w:t>En caso que fuera necesario</w:t>
            </w:r>
            <w:r w:rsidR="00B01FD8" w:rsidRPr="007D7001">
              <w:rPr>
                <w:rStyle w:val="hps"/>
                <w:rFonts w:cstheme="minorHAnsi"/>
              </w:rPr>
              <w:t>,</w:t>
            </w:r>
            <w:r w:rsidRPr="007D7001">
              <w:rPr>
                <w:rStyle w:val="hps"/>
                <w:rFonts w:cstheme="minorHAnsi"/>
              </w:rPr>
              <w:t xml:space="preserve"> el CNBI solicitará apoyo de las Secretarías Técnicas de los comités acreditados, para asistir a las reuniones del CNBI, dar seguimiento a los estudios revisados y temas tratados durante las reuniones a las que asistan.  </w:t>
            </w:r>
          </w:p>
          <w:p w14:paraId="10F21D6F" w14:textId="121DBB0C" w:rsidR="0010429E" w:rsidRPr="007D7001" w:rsidRDefault="0010429E" w:rsidP="0010429E">
            <w:pPr>
              <w:tabs>
                <w:tab w:val="left" w:pos="567"/>
              </w:tabs>
              <w:jc w:val="both"/>
              <w:rPr>
                <w:rStyle w:val="hps"/>
                <w:rFonts w:cstheme="minorHAnsi"/>
              </w:rPr>
            </w:pPr>
          </w:p>
          <w:p w14:paraId="199D74D5" w14:textId="099B7FEE" w:rsidR="00B01FD8" w:rsidRPr="007D7001" w:rsidRDefault="00B01FD8" w:rsidP="0010429E">
            <w:pPr>
              <w:tabs>
                <w:tab w:val="left" w:pos="567"/>
              </w:tabs>
              <w:jc w:val="both"/>
              <w:rPr>
                <w:rStyle w:val="hps"/>
                <w:rFonts w:cstheme="minorHAnsi"/>
              </w:rPr>
            </w:pPr>
          </w:p>
          <w:p w14:paraId="4DAEB3B9" w14:textId="580B86F0" w:rsidR="0010429E" w:rsidRPr="007D7001" w:rsidRDefault="0010429E" w:rsidP="0010429E">
            <w:pPr>
              <w:tabs>
                <w:tab w:val="left" w:pos="567"/>
              </w:tabs>
              <w:jc w:val="both"/>
              <w:rPr>
                <w:rFonts w:cstheme="minorHAnsi"/>
                <w:b/>
                <w:bCs/>
                <w:i/>
              </w:rPr>
            </w:pPr>
            <w:r w:rsidRPr="007D7001">
              <w:rPr>
                <w:rFonts w:cstheme="minorHAnsi"/>
                <w:b/>
                <w:i/>
                <w:lang w:val="es-ES"/>
              </w:rPr>
              <w:t>El comité tomará en cuenta</w:t>
            </w:r>
            <w:r w:rsidRPr="007D7001">
              <w:rPr>
                <w:rFonts w:cstheme="minorHAnsi"/>
                <w:i/>
              </w:rPr>
              <w:t>:</w:t>
            </w:r>
          </w:p>
          <w:p w14:paraId="4231B1A6" w14:textId="77777777" w:rsidR="0010429E" w:rsidRPr="007D7001" w:rsidRDefault="0010429E" w:rsidP="00386A0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7D7001">
              <w:rPr>
                <w:rFonts w:eastAsia="Times New Roman" w:cstheme="minorHAnsi"/>
              </w:rPr>
              <w:t>La validez científica, el valor y bienestar social y el riesgo de daño a los participantes y a la comunidad o grupo.</w:t>
            </w:r>
          </w:p>
          <w:p w14:paraId="0779074C" w14:textId="77777777" w:rsidR="0010429E" w:rsidRPr="007D7001" w:rsidRDefault="0010429E" w:rsidP="00386A0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7D7001">
              <w:rPr>
                <w:rFonts w:eastAsia="Times New Roman" w:cstheme="minorHAnsi"/>
                <w:lang w:val="es-ES"/>
              </w:rPr>
              <w:t>La integridad de los y las participantes en la investigación y la debida protección de su salud física y mental.</w:t>
            </w:r>
          </w:p>
          <w:p w14:paraId="4919A7DB" w14:textId="77777777" w:rsidR="0010429E" w:rsidRPr="007D7001" w:rsidRDefault="0010429E" w:rsidP="00386A02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7D7001">
              <w:rPr>
                <w:rFonts w:eastAsia="Times New Roman" w:cstheme="minorHAnsi"/>
                <w:lang w:val="es-ES"/>
              </w:rPr>
              <w:t>Las medidas de salvaguardia de la privacidad de los participantes y confidencialidad de los datos recogidos en la investigación (evitar daño por revelación de información).</w:t>
            </w:r>
          </w:p>
          <w:p w14:paraId="4A0DD6A3" w14:textId="77777777" w:rsidR="0010429E" w:rsidRPr="007D7001" w:rsidRDefault="0010429E" w:rsidP="0010429E">
            <w:pPr>
              <w:tabs>
                <w:tab w:val="left" w:pos="567"/>
              </w:tabs>
              <w:jc w:val="both"/>
              <w:rPr>
                <w:rStyle w:val="hps"/>
                <w:rFonts w:cstheme="minorHAnsi"/>
              </w:rPr>
            </w:pPr>
          </w:p>
          <w:p w14:paraId="22220BDC" w14:textId="40AC5196" w:rsidR="00F135F1" w:rsidRPr="007D7001" w:rsidRDefault="00F135F1" w:rsidP="00E12D33">
            <w:pPr>
              <w:jc w:val="both"/>
              <w:rPr>
                <w:rFonts w:cstheme="minorHAnsi"/>
                <w:b/>
                <w:bCs/>
                <w:i/>
                <w:strike/>
              </w:rPr>
            </w:pPr>
            <w:r w:rsidRPr="007D7001">
              <w:rPr>
                <w:rFonts w:cstheme="minorHAnsi"/>
                <w:b/>
                <w:bCs/>
                <w:i/>
              </w:rPr>
              <w:t xml:space="preserve">Tipos de Estudios </w:t>
            </w:r>
            <w:r w:rsidR="00A1752E" w:rsidRPr="007D7001">
              <w:rPr>
                <w:rFonts w:cstheme="minorHAnsi"/>
                <w:b/>
                <w:bCs/>
                <w:i/>
              </w:rPr>
              <w:t xml:space="preserve">que deben optar por la revisión </w:t>
            </w:r>
            <w:r w:rsidR="00B946AC" w:rsidRPr="007D7001">
              <w:rPr>
                <w:rFonts w:cstheme="minorHAnsi"/>
                <w:b/>
                <w:bCs/>
                <w:i/>
              </w:rPr>
              <w:t>especial</w:t>
            </w:r>
            <w:r w:rsidR="00C564A1" w:rsidRPr="007D7001">
              <w:rPr>
                <w:rFonts w:cstheme="minorHAnsi"/>
                <w:b/>
                <w:bCs/>
                <w:i/>
              </w:rPr>
              <w:t>:</w:t>
            </w:r>
          </w:p>
          <w:p w14:paraId="32835F27" w14:textId="74E62E56" w:rsidR="00420412" w:rsidRPr="007D7001" w:rsidRDefault="00420412" w:rsidP="00E12D33">
            <w:pPr>
              <w:jc w:val="both"/>
              <w:rPr>
                <w:rFonts w:cstheme="minorHAnsi"/>
              </w:rPr>
            </w:pPr>
          </w:p>
          <w:p w14:paraId="3D8C8AE9" w14:textId="51AD8E02" w:rsidR="00420412" w:rsidRPr="007D7001" w:rsidRDefault="00420412" w:rsidP="00E12D33">
            <w:p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>Los estudios que podrán optar para</w:t>
            </w:r>
            <w:r w:rsidR="0007191E" w:rsidRPr="007D7001">
              <w:rPr>
                <w:rFonts w:cstheme="minorHAnsi"/>
              </w:rPr>
              <w:t xml:space="preserve"> una revisión </w:t>
            </w:r>
            <w:proofErr w:type="gramStart"/>
            <w:r w:rsidR="00B946AC" w:rsidRPr="007D7001">
              <w:rPr>
                <w:rFonts w:cstheme="minorHAnsi"/>
              </w:rPr>
              <w:t xml:space="preserve">especial </w:t>
            </w:r>
            <w:r w:rsidR="0007191E" w:rsidRPr="007D7001">
              <w:rPr>
                <w:rFonts w:cstheme="minorHAnsi"/>
              </w:rPr>
              <w:t xml:space="preserve"> en</w:t>
            </w:r>
            <w:proofErr w:type="gramEnd"/>
            <w:r w:rsidR="0007191E" w:rsidRPr="007D7001">
              <w:rPr>
                <w:rFonts w:cstheme="minorHAnsi"/>
              </w:rPr>
              <w:t xml:space="preserve"> respuesta a</w:t>
            </w:r>
            <w:r w:rsidRPr="007D7001">
              <w:rPr>
                <w:rFonts w:cstheme="minorHAnsi"/>
              </w:rPr>
              <w:t xml:space="preserve"> emergencias</w:t>
            </w:r>
            <w:r w:rsidR="0007191E" w:rsidRPr="007D7001">
              <w:rPr>
                <w:rFonts w:cstheme="minorHAnsi"/>
              </w:rPr>
              <w:t xml:space="preserve"> sanitarias</w:t>
            </w:r>
            <w:r w:rsidRPr="007D7001">
              <w:rPr>
                <w:rFonts w:cstheme="minorHAnsi"/>
              </w:rPr>
              <w:t xml:space="preserve"> deberán estar relacionados con alguna de las siguientes situaciones: </w:t>
            </w:r>
          </w:p>
          <w:p w14:paraId="3D17D5DC" w14:textId="567430A9" w:rsidR="00420412" w:rsidRPr="007D7001" w:rsidRDefault="00420412" w:rsidP="00E12D33">
            <w:pPr>
              <w:jc w:val="both"/>
              <w:rPr>
                <w:rFonts w:cstheme="minorHAnsi"/>
              </w:rPr>
            </w:pPr>
          </w:p>
          <w:p w14:paraId="427BB822" w14:textId="3BC634EC" w:rsidR="00420412" w:rsidRPr="007D7001" w:rsidRDefault="0007191E" w:rsidP="00386A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>E</w:t>
            </w:r>
            <w:r w:rsidR="00420412" w:rsidRPr="007D7001">
              <w:rPr>
                <w:rFonts w:cstheme="minorHAnsi"/>
              </w:rPr>
              <w:t>mergenci</w:t>
            </w:r>
            <w:r w:rsidR="00B144AC" w:rsidRPr="007D7001">
              <w:rPr>
                <w:rFonts w:cstheme="minorHAnsi"/>
              </w:rPr>
              <w:t>as sanitarias</w:t>
            </w:r>
            <w:r w:rsidRPr="007D7001">
              <w:rPr>
                <w:rFonts w:cstheme="minorHAnsi"/>
              </w:rPr>
              <w:t xml:space="preserve"> declaradas por la autoridad sanitaria correspondiente. </w:t>
            </w:r>
          </w:p>
          <w:p w14:paraId="1570919C" w14:textId="0216C7A9" w:rsidR="00420412" w:rsidRPr="007D7001" w:rsidRDefault="00420412" w:rsidP="00386A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>Epidemias</w:t>
            </w:r>
            <w:r w:rsidR="0007191E" w:rsidRPr="007D7001">
              <w:rPr>
                <w:rFonts w:cstheme="minorHAnsi"/>
              </w:rPr>
              <w:t xml:space="preserve"> declaradas por la autoridad sanitaria correspondiente. </w:t>
            </w:r>
            <w:r w:rsidRPr="007D7001">
              <w:rPr>
                <w:rFonts w:cstheme="minorHAnsi"/>
              </w:rPr>
              <w:t xml:space="preserve"> </w:t>
            </w:r>
          </w:p>
          <w:p w14:paraId="5E3D8F88" w14:textId="4F4847D6" w:rsidR="00420412" w:rsidRPr="007D7001" w:rsidRDefault="0007191E" w:rsidP="00386A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 xml:space="preserve">Pandemias </w:t>
            </w:r>
          </w:p>
          <w:p w14:paraId="5796630A" w14:textId="14270819" w:rsidR="00420412" w:rsidRPr="007D7001" w:rsidRDefault="00420412" w:rsidP="00386A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 xml:space="preserve">Desastres naturales que impacten </w:t>
            </w:r>
            <w:r w:rsidR="000B39E2" w:rsidRPr="007D7001">
              <w:rPr>
                <w:rFonts w:cstheme="minorHAnsi"/>
              </w:rPr>
              <w:t>a</w:t>
            </w:r>
            <w:r w:rsidRPr="007D7001">
              <w:rPr>
                <w:rFonts w:cstheme="minorHAnsi"/>
              </w:rPr>
              <w:t xml:space="preserve"> los seres humanos </w:t>
            </w:r>
          </w:p>
          <w:p w14:paraId="386E5DC8" w14:textId="0555D8F2" w:rsidR="000B39E2" w:rsidRPr="007D7001" w:rsidRDefault="000B39E2" w:rsidP="00386A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7D7001">
              <w:rPr>
                <w:rFonts w:cstheme="minorHAnsi"/>
              </w:rPr>
              <w:t>Brotes de Enfermedades</w:t>
            </w:r>
          </w:p>
          <w:p w14:paraId="070A2ECD" w14:textId="6E03C824" w:rsidR="00E12D33" w:rsidRPr="005039ED" w:rsidRDefault="00E12D33" w:rsidP="00E12D33">
            <w:pPr>
              <w:jc w:val="both"/>
              <w:rPr>
                <w:rFonts w:cstheme="minorHAnsi"/>
              </w:rPr>
            </w:pPr>
            <w:r w:rsidRPr="005039ED">
              <w:rPr>
                <w:rFonts w:cstheme="minorHAnsi"/>
              </w:rPr>
              <w:tab/>
            </w:r>
          </w:p>
          <w:p w14:paraId="29693DC7" w14:textId="403CC215" w:rsidR="00262D3C" w:rsidRPr="005039ED" w:rsidRDefault="00262D3C" w:rsidP="009A6AF5">
            <w:pPr>
              <w:jc w:val="both"/>
              <w:rPr>
                <w:rFonts w:cstheme="minorHAnsi"/>
                <w:bCs/>
              </w:rPr>
            </w:pPr>
          </w:p>
        </w:tc>
      </w:tr>
    </w:tbl>
    <w:p w14:paraId="26EF93E7" w14:textId="77777777" w:rsidR="00471446" w:rsidRPr="00262D3C" w:rsidRDefault="00471446" w:rsidP="00471446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71446" w:rsidRPr="00BE06A0" w14:paraId="3981D036" w14:textId="77777777" w:rsidTr="00386A02">
        <w:tc>
          <w:tcPr>
            <w:tcW w:w="8828" w:type="dxa"/>
            <w:shd w:val="clear" w:color="auto" w:fill="C2D69B" w:themeFill="accent3" w:themeFillTint="99"/>
          </w:tcPr>
          <w:p w14:paraId="20DF81C3" w14:textId="77777777" w:rsidR="00471446" w:rsidRPr="00BE06A0" w:rsidRDefault="00471446" w:rsidP="006D3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6A0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BE06A0" w14:paraId="442D44D6" w14:textId="77777777" w:rsidTr="00386A02">
        <w:tc>
          <w:tcPr>
            <w:tcW w:w="8828" w:type="dxa"/>
          </w:tcPr>
          <w:p w14:paraId="5563A58F" w14:textId="77777777" w:rsidR="00965503" w:rsidRPr="00E763C0" w:rsidRDefault="00965503" w:rsidP="00386A0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i/>
                <w:szCs w:val="24"/>
              </w:rPr>
            </w:pPr>
            <w:r w:rsidRPr="00E763C0">
              <w:rPr>
                <w:rFonts w:cstheme="minorHAnsi"/>
                <w:i/>
                <w:szCs w:val="24"/>
              </w:rPr>
              <w:t xml:space="preserve">Pautas CIOMS </w:t>
            </w:r>
          </w:p>
          <w:p w14:paraId="7330B31B" w14:textId="1C5EBCB9" w:rsidR="00C564A1" w:rsidRPr="00E763C0" w:rsidRDefault="00C564A1" w:rsidP="00386A0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E763C0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bdr w:val="none" w:sz="0" w:space="0" w:color="auto" w:frame="1"/>
                <w:lang w:val="es-ES"/>
              </w:rPr>
              <w:t xml:space="preserve">Orientación ética sobre cuestiones planteadas por la pandemia del nuevo </w:t>
            </w:r>
            <w:r w:rsidRPr="00E763C0">
              <w:rPr>
                <w:rFonts w:asciiTheme="minorHAnsi" w:hAnsiTheme="minorHAnsi" w:cstheme="minorHAnsi"/>
                <w:bCs/>
                <w:i/>
                <w:color w:val="000000"/>
                <w:sz w:val="22"/>
                <w:bdr w:val="none" w:sz="0" w:space="0" w:color="auto" w:frame="1"/>
                <w:lang w:val="es-ES"/>
              </w:rPr>
              <w:t>coronavirus (COVID-19) Documento de la OPS</w:t>
            </w:r>
          </w:p>
          <w:p w14:paraId="797AD05B" w14:textId="10C2F80E" w:rsidR="00C564A1" w:rsidRPr="0076156B" w:rsidRDefault="00C564A1" w:rsidP="00386A0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  <w:lang w:val="en-US"/>
              </w:rPr>
            </w:pPr>
            <w:r w:rsidRPr="0076156B">
              <w:rPr>
                <w:rFonts w:asciiTheme="minorHAnsi" w:hAnsiTheme="minorHAnsi" w:cstheme="minorHAnsi"/>
                <w:i/>
                <w:color w:val="000000"/>
                <w:sz w:val="22"/>
                <w:lang w:val="en-US"/>
              </w:rPr>
              <w:t>Guidance for Managing Ethical Issues in Infectious Disease Outbreaks – OMS</w:t>
            </w:r>
          </w:p>
          <w:p w14:paraId="2F292308" w14:textId="28393429" w:rsidR="00C564A1" w:rsidRPr="00E763C0" w:rsidRDefault="00C564A1" w:rsidP="00386A0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E763C0">
              <w:rPr>
                <w:rFonts w:asciiTheme="minorHAnsi" w:hAnsiTheme="minorHAnsi" w:cstheme="minorHAnsi"/>
                <w:i/>
                <w:color w:val="000000"/>
                <w:sz w:val="22"/>
              </w:rPr>
              <w:t>Pautas de la OMS sobre la ética en la vigilancia de la salud pública</w:t>
            </w:r>
          </w:p>
          <w:p w14:paraId="3592C716" w14:textId="3575AD12" w:rsidR="00C564A1" w:rsidRPr="00E763C0" w:rsidRDefault="00C564A1" w:rsidP="00386A0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/>
                <w:sz w:val="22"/>
              </w:rPr>
            </w:pPr>
            <w:r w:rsidRPr="00E763C0">
              <w:rPr>
                <w:rFonts w:asciiTheme="minorHAnsi" w:hAnsiTheme="minorHAnsi" w:cstheme="minorHAnsi"/>
                <w:i/>
                <w:color w:val="000000"/>
                <w:sz w:val="22"/>
              </w:rPr>
              <w:t>Reglamento Sanitario Internacional</w:t>
            </w:r>
            <w:r w:rsidR="00E763C0" w:rsidRPr="00E763C0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- OMS</w:t>
            </w:r>
          </w:p>
          <w:p w14:paraId="3819786A" w14:textId="28BC2852" w:rsidR="00C564A1" w:rsidRPr="00BE06A0" w:rsidRDefault="00C564A1" w:rsidP="00ED2031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7B6A6C7" w14:textId="77777777" w:rsidR="00A85348" w:rsidRPr="00BE06A0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14:paraId="149D7ECF" w14:textId="608A5AA7" w:rsidR="00CA4235" w:rsidRPr="00BE06A0" w:rsidRDefault="00471446" w:rsidP="00D263A3">
      <w:pPr>
        <w:spacing w:after="0" w:line="240" w:lineRule="auto"/>
        <w:rPr>
          <w:rFonts w:cstheme="minorHAnsi"/>
          <w:sz w:val="24"/>
          <w:szCs w:val="24"/>
        </w:rPr>
      </w:pPr>
      <w:r w:rsidRPr="00BE06A0">
        <w:rPr>
          <w:rFonts w:cstheme="minorHAnsi"/>
          <w:sz w:val="24"/>
          <w:szCs w:val="24"/>
        </w:rPr>
        <w:t xml:space="preserve"> </w:t>
      </w:r>
    </w:p>
    <w:sectPr w:rsidR="00CA4235" w:rsidRPr="00BE06A0" w:rsidSect="00781A7C">
      <w:headerReference w:type="default" r:id="rId8"/>
      <w:footerReference w:type="default" r:id="rId9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7FC8" w14:textId="77777777" w:rsidR="00F567F7" w:rsidRDefault="00F567F7" w:rsidP="00CA4235">
      <w:pPr>
        <w:spacing w:after="0" w:line="240" w:lineRule="auto"/>
      </w:pPr>
      <w:r>
        <w:separator/>
      </w:r>
    </w:p>
  </w:endnote>
  <w:endnote w:type="continuationSeparator" w:id="0">
    <w:p w14:paraId="192588DA" w14:textId="77777777" w:rsidR="00F567F7" w:rsidRDefault="00F567F7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5A7" w14:textId="77777777" w:rsidR="000053C5" w:rsidRPr="0060493A" w:rsidRDefault="000053C5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>Comité Nacional de Bioética de la Investigación</w:t>
    </w:r>
  </w:p>
  <w:p w14:paraId="585045B4" w14:textId="0304898B" w:rsidR="000053C5" w:rsidRDefault="000053C5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F74169" w:rsidRPr="00F74169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5</w:t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D550C1">
      <w:fldChar w:fldCharType="begin"/>
    </w:r>
    <w:r w:rsidR="00D550C1">
      <w:instrText>NUMPAGES  \* Arabic  \* MERGEFORMAT</w:instrText>
    </w:r>
    <w:r w:rsidR="00D550C1">
      <w:fldChar w:fldCharType="separate"/>
    </w:r>
    <w:r w:rsidR="00F74169" w:rsidRPr="00F74169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5</w:t>
    </w:r>
    <w:r w:rsidR="00D550C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1A8EE2A9" w14:textId="77777777" w:rsidR="000053C5" w:rsidRPr="0060493A" w:rsidRDefault="000053C5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6E67" w14:textId="77777777" w:rsidR="00F567F7" w:rsidRDefault="00F567F7" w:rsidP="00CA4235">
      <w:pPr>
        <w:spacing w:after="0" w:line="240" w:lineRule="auto"/>
      </w:pPr>
      <w:r>
        <w:separator/>
      </w:r>
    </w:p>
  </w:footnote>
  <w:footnote w:type="continuationSeparator" w:id="0">
    <w:p w14:paraId="13FD9DD3" w14:textId="77777777" w:rsidR="00F567F7" w:rsidRDefault="00F567F7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7283" w14:textId="5EB1244D" w:rsidR="000053C5" w:rsidRDefault="000053C5" w:rsidP="00781A7C"/>
  <w:tbl>
    <w:tblPr>
      <w:tblStyle w:val="Tablaconcuadrcula"/>
      <w:tblW w:w="10263" w:type="dxa"/>
      <w:tblInd w:w="-71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077"/>
      <w:gridCol w:w="6186"/>
    </w:tblGrid>
    <w:tr w:rsidR="0021080A" w:rsidRPr="00070397" w14:paraId="213CCBF1" w14:textId="77777777" w:rsidTr="0021080A">
      <w:trPr>
        <w:trHeight w:val="1250"/>
      </w:trPr>
      <w:tc>
        <w:tcPr>
          <w:tcW w:w="4077" w:type="dxa"/>
          <w:vAlign w:val="center"/>
        </w:tcPr>
        <w:p w14:paraId="128DA842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070397">
            <w:rPr>
              <w:rFonts w:cstheme="minorHAnsi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36A234B7" wp14:editId="3472179B">
                <wp:simplePos x="0" y="0"/>
                <wp:positionH relativeFrom="column">
                  <wp:posOffset>321310</wp:posOffset>
                </wp:positionH>
                <wp:positionV relativeFrom="paragraph">
                  <wp:posOffset>60960</wp:posOffset>
                </wp:positionV>
                <wp:extent cx="1343025" cy="748665"/>
                <wp:effectExtent l="0" t="0" r="9525" b="0"/>
                <wp:wrapNone/>
                <wp:docPr id="6" name="Imagen 6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F7CA49F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4BC44DE3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44ECED68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505C96DB" w14:textId="77777777" w:rsidR="0021080A" w:rsidRPr="00070397" w:rsidRDefault="0021080A" w:rsidP="0021080A">
          <w:pPr>
            <w:pStyle w:val="Piedepgina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6186" w:type="dxa"/>
          <w:vAlign w:val="center"/>
        </w:tcPr>
        <w:p w14:paraId="0B1434DD" w14:textId="77777777" w:rsidR="0021080A" w:rsidRPr="00070397" w:rsidRDefault="0021080A" w:rsidP="0021080A">
          <w:pPr>
            <w:pStyle w:val="Piedepgina"/>
            <w:jc w:val="center"/>
            <w:rPr>
              <w:rFonts w:cstheme="minorHAnsi"/>
              <w:b/>
              <w:sz w:val="28"/>
              <w:szCs w:val="28"/>
            </w:rPr>
          </w:pPr>
          <w:r w:rsidRPr="00070397">
            <w:rPr>
              <w:rFonts w:cstheme="minorHAnsi"/>
              <w:b/>
              <w:sz w:val="28"/>
              <w:szCs w:val="28"/>
            </w:rPr>
            <w:t>Comité Nacional de Bioética de la Investigación</w:t>
          </w:r>
        </w:p>
      </w:tc>
    </w:tr>
    <w:tr w:rsidR="0021080A" w:rsidRPr="00070397" w14:paraId="2E52DC6E" w14:textId="77777777" w:rsidTr="0021080A">
      <w:trPr>
        <w:trHeight w:val="564"/>
      </w:trPr>
      <w:tc>
        <w:tcPr>
          <w:tcW w:w="4077" w:type="dxa"/>
          <w:shd w:val="clear" w:color="auto" w:fill="C2D69B" w:themeFill="accent3" w:themeFillTint="99"/>
          <w:vAlign w:val="center"/>
        </w:tcPr>
        <w:p w14:paraId="3468A53B" w14:textId="45EFA7BA" w:rsidR="0021080A" w:rsidRPr="00070397" w:rsidRDefault="0021080A" w:rsidP="0021080A">
          <w:pPr>
            <w:pStyle w:val="Piedepgina"/>
            <w:rPr>
              <w:rFonts w:cstheme="minorHAnsi"/>
              <w:sz w:val="24"/>
              <w:szCs w:val="24"/>
            </w:rPr>
          </w:pPr>
          <w:r w:rsidRPr="00070397">
            <w:rPr>
              <w:rFonts w:cstheme="minorHAnsi"/>
              <w:b/>
              <w:sz w:val="24"/>
              <w:szCs w:val="24"/>
            </w:rPr>
            <w:t>Código:</w:t>
          </w:r>
          <w:r w:rsidRPr="00070397">
            <w:rPr>
              <w:rFonts w:cstheme="minorHAnsi"/>
              <w:sz w:val="24"/>
              <w:szCs w:val="24"/>
            </w:rPr>
            <w:t xml:space="preserve"> </w:t>
          </w:r>
          <w:r w:rsidR="00414E0F">
            <w:rPr>
              <w:rFonts w:cstheme="minorHAnsi"/>
              <w:sz w:val="24"/>
              <w:szCs w:val="24"/>
            </w:rPr>
            <w:t>PO-026</w:t>
          </w:r>
        </w:p>
      </w:tc>
      <w:tc>
        <w:tcPr>
          <w:tcW w:w="6186" w:type="dxa"/>
          <w:shd w:val="clear" w:color="auto" w:fill="auto"/>
          <w:vAlign w:val="center"/>
        </w:tcPr>
        <w:p w14:paraId="2D97A99E" w14:textId="45FE2148" w:rsidR="0021080A" w:rsidRPr="00965503" w:rsidRDefault="0021080A" w:rsidP="0021080A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965503">
            <w:rPr>
              <w:rFonts w:cstheme="minorHAnsi"/>
              <w:b/>
              <w:sz w:val="24"/>
              <w:szCs w:val="24"/>
            </w:rPr>
            <w:t xml:space="preserve">Título: Procedimiento Operativo para Revisión </w:t>
          </w:r>
          <w:r w:rsidR="00FD15E3">
            <w:rPr>
              <w:rFonts w:cstheme="minorHAnsi"/>
              <w:b/>
              <w:sz w:val="24"/>
              <w:szCs w:val="24"/>
            </w:rPr>
            <w:t xml:space="preserve">Especial </w:t>
          </w:r>
          <w:r w:rsidRPr="00965503">
            <w:rPr>
              <w:rFonts w:cstheme="minorHAnsi"/>
              <w:b/>
              <w:sz w:val="24"/>
              <w:szCs w:val="24"/>
            </w:rPr>
            <w:t>de Protocolos de investigación</w:t>
          </w:r>
          <w:r w:rsidR="0007191E">
            <w:rPr>
              <w:rFonts w:cstheme="minorHAnsi"/>
              <w:b/>
              <w:sz w:val="24"/>
              <w:szCs w:val="24"/>
            </w:rPr>
            <w:t xml:space="preserve"> en respuesta a</w:t>
          </w:r>
          <w:r w:rsidR="000B39E2" w:rsidRPr="00965503">
            <w:rPr>
              <w:rFonts w:cstheme="minorHAnsi"/>
              <w:b/>
              <w:sz w:val="24"/>
              <w:szCs w:val="24"/>
            </w:rPr>
            <w:t xml:space="preserve"> emergencias sanitarias, desastres o brotes de enfermedades</w:t>
          </w:r>
        </w:p>
      </w:tc>
    </w:tr>
    <w:tr w:rsidR="0021080A" w:rsidRPr="00070397" w14:paraId="60BC6602" w14:textId="77777777" w:rsidTr="0021080A">
      <w:trPr>
        <w:trHeight w:val="88"/>
      </w:trPr>
      <w:tc>
        <w:tcPr>
          <w:tcW w:w="4077" w:type="dxa"/>
          <w:shd w:val="clear" w:color="auto" w:fill="C2D69B" w:themeFill="accent3" w:themeFillTint="99"/>
          <w:vAlign w:val="center"/>
        </w:tcPr>
        <w:p w14:paraId="3BDF2D1F" w14:textId="19F8E49F" w:rsidR="0021080A" w:rsidRPr="00070397" w:rsidRDefault="0021080A" w:rsidP="0021080A">
          <w:pPr>
            <w:pStyle w:val="Piedepgina"/>
            <w:rPr>
              <w:rFonts w:cstheme="minorHAnsi"/>
              <w:b/>
              <w:sz w:val="24"/>
              <w:szCs w:val="24"/>
            </w:rPr>
          </w:pPr>
          <w:r w:rsidRPr="00070397">
            <w:rPr>
              <w:rFonts w:cstheme="minorHAnsi"/>
              <w:b/>
              <w:sz w:val="24"/>
              <w:szCs w:val="24"/>
            </w:rPr>
            <w:t xml:space="preserve">Versión: </w:t>
          </w:r>
          <w:r w:rsidR="00FD5567">
            <w:rPr>
              <w:rFonts w:cstheme="minorHAnsi"/>
              <w:b/>
              <w:sz w:val="24"/>
              <w:szCs w:val="24"/>
            </w:rPr>
            <w:t>1.3</w:t>
          </w:r>
        </w:p>
      </w:tc>
      <w:tc>
        <w:tcPr>
          <w:tcW w:w="6186" w:type="dxa"/>
          <w:shd w:val="clear" w:color="auto" w:fill="auto"/>
          <w:vAlign w:val="center"/>
        </w:tcPr>
        <w:p w14:paraId="7BD2CAD6" w14:textId="513CE27C" w:rsidR="0021080A" w:rsidRPr="00070397" w:rsidRDefault="0021080A" w:rsidP="00FD5567">
          <w:pPr>
            <w:pStyle w:val="Piedepgina"/>
            <w:rPr>
              <w:rFonts w:cstheme="minorHAnsi"/>
              <w:sz w:val="24"/>
              <w:szCs w:val="24"/>
            </w:rPr>
          </w:pPr>
          <w:r w:rsidRPr="00070397">
            <w:rPr>
              <w:rFonts w:cstheme="minorHAnsi"/>
              <w:sz w:val="24"/>
              <w:szCs w:val="24"/>
            </w:rPr>
            <w:t xml:space="preserve">Fecha: </w:t>
          </w:r>
          <w:r w:rsidR="00FD5567">
            <w:rPr>
              <w:rFonts w:cstheme="minorHAnsi"/>
              <w:sz w:val="24"/>
              <w:szCs w:val="24"/>
            </w:rPr>
            <w:t>junio 2021</w:t>
          </w:r>
        </w:p>
      </w:tc>
    </w:tr>
  </w:tbl>
  <w:p w14:paraId="4CCA939C" w14:textId="77777777" w:rsidR="0021080A" w:rsidRDefault="0021080A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00B"/>
    <w:multiLevelType w:val="multilevel"/>
    <w:tmpl w:val="685889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 w15:restartNumberingAfterBreak="0">
    <w:nsid w:val="0FC115BC"/>
    <w:multiLevelType w:val="multilevel"/>
    <w:tmpl w:val="E1B2F8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1F536C79"/>
    <w:multiLevelType w:val="hybridMultilevel"/>
    <w:tmpl w:val="7BCCA92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0577"/>
    <w:multiLevelType w:val="hybridMultilevel"/>
    <w:tmpl w:val="9146BF3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408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5371537A"/>
    <w:multiLevelType w:val="multilevel"/>
    <w:tmpl w:val="8E2001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56096A32"/>
    <w:multiLevelType w:val="multilevel"/>
    <w:tmpl w:val="B81801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 w15:restartNumberingAfterBreak="0">
    <w:nsid w:val="5BC97AD2"/>
    <w:multiLevelType w:val="multilevel"/>
    <w:tmpl w:val="EF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662861A7"/>
    <w:multiLevelType w:val="multilevel"/>
    <w:tmpl w:val="DE94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482F36"/>
    <w:multiLevelType w:val="hybridMultilevel"/>
    <w:tmpl w:val="5DC6D1C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715AD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num w:numId="1" w16cid:durableId="649553633">
    <w:abstractNumId w:val="8"/>
  </w:num>
  <w:num w:numId="2" w16cid:durableId="621884819">
    <w:abstractNumId w:val="10"/>
  </w:num>
  <w:num w:numId="3" w16cid:durableId="86730575">
    <w:abstractNumId w:val="2"/>
  </w:num>
  <w:num w:numId="4" w16cid:durableId="1074280237">
    <w:abstractNumId w:val="9"/>
  </w:num>
  <w:num w:numId="5" w16cid:durableId="1324893664">
    <w:abstractNumId w:val="3"/>
  </w:num>
  <w:num w:numId="6" w16cid:durableId="697632355">
    <w:abstractNumId w:val="4"/>
  </w:num>
  <w:num w:numId="7" w16cid:durableId="1435244272">
    <w:abstractNumId w:val="7"/>
  </w:num>
  <w:num w:numId="8" w16cid:durableId="972515487">
    <w:abstractNumId w:val="6"/>
  </w:num>
  <w:num w:numId="9" w16cid:durableId="308899228">
    <w:abstractNumId w:val="1"/>
  </w:num>
  <w:num w:numId="10" w16cid:durableId="189034461">
    <w:abstractNumId w:val="0"/>
  </w:num>
  <w:num w:numId="11" w16cid:durableId="24414515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053C5"/>
    <w:rsid w:val="00007CE1"/>
    <w:rsid w:val="000578D4"/>
    <w:rsid w:val="00061E78"/>
    <w:rsid w:val="0007191E"/>
    <w:rsid w:val="0007660F"/>
    <w:rsid w:val="0008289E"/>
    <w:rsid w:val="00097BF5"/>
    <w:rsid w:val="000A1674"/>
    <w:rsid w:val="000B39E2"/>
    <w:rsid w:val="000D10DC"/>
    <w:rsid w:val="000D4C57"/>
    <w:rsid w:val="000E7608"/>
    <w:rsid w:val="00100BF5"/>
    <w:rsid w:val="0010429E"/>
    <w:rsid w:val="00104798"/>
    <w:rsid w:val="001335DF"/>
    <w:rsid w:val="0015324F"/>
    <w:rsid w:val="001546EB"/>
    <w:rsid w:val="0016204C"/>
    <w:rsid w:val="001832DD"/>
    <w:rsid w:val="00196E49"/>
    <w:rsid w:val="00197694"/>
    <w:rsid w:val="001B286C"/>
    <w:rsid w:val="001B3D19"/>
    <w:rsid w:val="001B7362"/>
    <w:rsid w:val="001C47BD"/>
    <w:rsid w:val="001F65FC"/>
    <w:rsid w:val="002102CA"/>
    <w:rsid w:val="0021080A"/>
    <w:rsid w:val="00225FA7"/>
    <w:rsid w:val="00262D3C"/>
    <w:rsid w:val="002A2AC2"/>
    <w:rsid w:val="002C345D"/>
    <w:rsid w:val="002C6349"/>
    <w:rsid w:val="00305EEA"/>
    <w:rsid w:val="00331E62"/>
    <w:rsid w:val="00371690"/>
    <w:rsid w:val="003778AF"/>
    <w:rsid w:val="00386A02"/>
    <w:rsid w:val="003C763C"/>
    <w:rsid w:val="004016CC"/>
    <w:rsid w:val="00414E0F"/>
    <w:rsid w:val="00420412"/>
    <w:rsid w:val="004448B4"/>
    <w:rsid w:val="004513B3"/>
    <w:rsid w:val="00457647"/>
    <w:rsid w:val="00471446"/>
    <w:rsid w:val="00487146"/>
    <w:rsid w:val="00493526"/>
    <w:rsid w:val="004B4E46"/>
    <w:rsid w:val="004C2FA6"/>
    <w:rsid w:val="004D2476"/>
    <w:rsid w:val="004E3595"/>
    <w:rsid w:val="00501809"/>
    <w:rsid w:val="005039ED"/>
    <w:rsid w:val="00531ADD"/>
    <w:rsid w:val="00543C94"/>
    <w:rsid w:val="00544CF5"/>
    <w:rsid w:val="00580452"/>
    <w:rsid w:val="005C38FC"/>
    <w:rsid w:val="005F2A9D"/>
    <w:rsid w:val="0060493A"/>
    <w:rsid w:val="006055BD"/>
    <w:rsid w:val="00611DB2"/>
    <w:rsid w:val="00624401"/>
    <w:rsid w:val="00672AB6"/>
    <w:rsid w:val="00673F79"/>
    <w:rsid w:val="00684079"/>
    <w:rsid w:val="00697581"/>
    <w:rsid w:val="006C09D0"/>
    <w:rsid w:val="006C0E61"/>
    <w:rsid w:val="006D3D13"/>
    <w:rsid w:val="006D4004"/>
    <w:rsid w:val="006E25FB"/>
    <w:rsid w:val="006F5B42"/>
    <w:rsid w:val="00702EF0"/>
    <w:rsid w:val="00710279"/>
    <w:rsid w:val="0072205D"/>
    <w:rsid w:val="00736354"/>
    <w:rsid w:val="0075716D"/>
    <w:rsid w:val="0076156B"/>
    <w:rsid w:val="00761893"/>
    <w:rsid w:val="00767EEF"/>
    <w:rsid w:val="00770571"/>
    <w:rsid w:val="00771934"/>
    <w:rsid w:val="00781A7C"/>
    <w:rsid w:val="007B5EF4"/>
    <w:rsid w:val="007C6AA1"/>
    <w:rsid w:val="007D53BA"/>
    <w:rsid w:val="007D7001"/>
    <w:rsid w:val="007E0160"/>
    <w:rsid w:val="007F587D"/>
    <w:rsid w:val="007F6F91"/>
    <w:rsid w:val="00817D3B"/>
    <w:rsid w:val="008236A7"/>
    <w:rsid w:val="008341C7"/>
    <w:rsid w:val="008359AF"/>
    <w:rsid w:val="00843844"/>
    <w:rsid w:val="00843F8C"/>
    <w:rsid w:val="00893667"/>
    <w:rsid w:val="00893EED"/>
    <w:rsid w:val="008A2FDD"/>
    <w:rsid w:val="008C267E"/>
    <w:rsid w:val="008E0BE5"/>
    <w:rsid w:val="008E5517"/>
    <w:rsid w:val="00911E92"/>
    <w:rsid w:val="009632EE"/>
    <w:rsid w:val="00965503"/>
    <w:rsid w:val="00990C00"/>
    <w:rsid w:val="00992B69"/>
    <w:rsid w:val="009A2F70"/>
    <w:rsid w:val="009A656F"/>
    <w:rsid w:val="009A6AF5"/>
    <w:rsid w:val="009D306D"/>
    <w:rsid w:val="00A15235"/>
    <w:rsid w:val="00A1752E"/>
    <w:rsid w:val="00A2528A"/>
    <w:rsid w:val="00A32302"/>
    <w:rsid w:val="00A378FB"/>
    <w:rsid w:val="00A471ED"/>
    <w:rsid w:val="00A50603"/>
    <w:rsid w:val="00A5173E"/>
    <w:rsid w:val="00A703D6"/>
    <w:rsid w:val="00A7104C"/>
    <w:rsid w:val="00A85348"/>
    <w:rsid w:val="00AB7131"/>
    <w:rsid w:val="00AD33B4"/>
    <w:rsid w:val="00AE332C"/>
    <w:rsid w:val="00B01FD8"/>
    <w:rsid w:val="00B12CFB"/>
    <w:rsid w:val="00B144AC"/>
    <w:rsid w:val="00B37AFF"/>
    <w:rsid w:val="00B727AE"/>
    <w:rsid w:val="00B91555"/>
    <w:rsid w:val="00B946AC"/>
    <w:rsid w:val="00BB3581"/>
    <w:rsid w:val="00BE06A0"/>
    <w:rsid w:val="00C06D93"/>
    <w:rsid w:val="00C13500"/>
    <w:rsid w:val="00C40374"/>
    <w:rsid w:val="00C564A1"/>
    <w:rsid w:val="00C759C3"/>
    <w:rsid w:val="00C95663"/>
    <w:rsid w:val="00CA004C"/>
    <w:rsid w:val="00CA4235"/>
    <w:rsid w:val="00CB374A"/>
    <w:rsid w:val="00CC1198"/>
    <w:rsid w:val="00D02EEB"/>
    <w:rsid w:val="00D058BF"/>
    <w:rsid w:val="00D263A3"/>
    <w:rsid w:val="00D30276"/>
    <w:rsid w:val="00D550C1"/>
    <w:rsid w:val="00D5792A"/>
    <w:rsid w:val="00D655E9"/>
    <w:rsid w:val="00D76F30"/>
    <w:rsid w:val="00D803ED"/>
    <w:rsid w:val="00DA1398"/>
    <w:rsid w:val="00DA67FE"/>
    <w:rsid w:val="00DA736A"/>
    <w:rsid w:val="00DD1017"/>
    <w:rsid w:val="00DF0CB3"/>
    <w:rsid w:val="00DF764A"/>
    <w:rsid w:val="00E027F1"/>
    <w:rsid w:val="00E0296F"/>
    <w:rsid w:val="00E12D33"/>
    <w:rsid w:val="00E14307"/>
    <w:rsid w:val="00E179DF"/>
    <w:rsid w:val="00E30D5F"/>
    <w:rsid w:val="00E37D4E"/>
    <w:rsid w:val="00E43F5D"/>
    <w:rsid w:val="00E53B51"/>
    <w:rsid w:val="00E763C0"/>
    <w:rsid w:val="00EA05E0"/>
    <w:rsid w:val="00EB7BC7"/>
    <w:rsid w:val="00EC103F"/>
    <w:rsid w:val="00ED2031"/>
    <w:rsid w:val="00ED5D1F"/>
    <w:rsid w:val="00EF1BF8"/>
    <w:rsid w:val="00EF2256"/>
    <w:rsid w:val="00F00185"/>
    <w:rsid w:val="00F135F1"/>
    <w:rsid w:val="00F214B0"/>
    <w:rsid w:val="00F21D06"/>
    <w:rsid w:val="00F364D9"/>
    <w:rsid w:val="00F46078"/>
    <w:rsid w:val="00F52203"/>
    <w:rsid w:val="00F567F7"/>
    <w:rsid w:val="00F74169"/>
    <w:rsid w:val="00F743D7"/>
    <w:rsid w:val="00F878D5"/>
    <w:rsid w:val="00FA16F0"/>
    <w:rsid w:val="00FA6BE4"/>
    <w:rsid w:val="00FD15E3"/>
    <w:rsid w:val="00FD5567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B2A7ED6"/>
  <w15:docId w15:val="{AD9E4C7E-3ECF-412C-BC83-A0D93CE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71"/>
  </w:style>
  <w:style w:type="paragraph" w:styleId="Ttulo1">
    <w:name w:val="heading 1"/>
    <w:basedOn w:val="Normal"/>
    <w:next w:val="Normal"/>
    <w:link w:val="Ttulo1Car"/>
    <w:uiPriority w:val="9"/>
    <w:qFormat/>
    <w:rsid w:val="00C13500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3500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3500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13500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13500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13500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13500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13500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1350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135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350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3500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1350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1350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13500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13500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1350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135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ps">
    <w:name w:val="hps"/>
    <w:rsid w:val="00C13500"/>
  </w:style>
  <w:style w:type="paragraph" w:styleId="NormalWeb">
    <w:name w:val="Normal (Web)"/>
    <w:basedOn w:val="Normal"/>
    <w:uiPriority w:val="99"/>
    <w:semiHidden/>
    <w:unhideWhenUsed/>
    <w:rsid w:val="00C5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0B52-5B88-46E4-899E-7AD88A1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1542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Magalys Quintana</dc:creator>
  <cp:keywords/>
  <dc:description/>
  <cp:lastModifiedBy>Magalys Quintana Tuñon</cp:lastModifiedBy>
  <cp:revision>2</cp:revision>
  <cp:lastPrinted>2020-09-24T03:59:00Z</cp:lastPrinted>
  <dcterms:created xsi:type="dcterms:W3CDTF">2022-11-25T19:43:00Z</dcterms:created>
  <dcterms:modified xsi:type="dcterms:W3CDTF">2022-11-25T19:43:00Z</dcterms:modified>
</cp:coreProperties>
</file>