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28"/>
      </w:tblGrid>
      <w:tr w:rsidR="00471446" w:rsidRPr="00C118A2" w14:paraId="57779517" w14:textId="77777777" w:rsidTr="00C118A2">
        <w:tc>
          <w:tcPr>
            <w:tcW w:w="8978" w:type="dxa"/>
            <w:shd w:val="clear" w:color="auto" w:fill="C2D69B" w:themeFill="accent3" w:themeFillTint="99"/>
          </w:tcPr>
          <w:p w14:paraId="353F4645" w14:textId="77777777" w:rsidR="00471446" w:rsidRPr="00C118A2" w:rsidRDefault="00471446" w:rsidP="00471446">
            <w:pPr>
              <w:jc w:val="center"/>
              <w:rPr>
                <w:rFonts w:cstheme="minorHAnsi"/>
                <w:b/>
                <w:sz w:val="24"/>
                <w:szCs w:val="24"/>
              </w:rPr>
            </w:pPr>
            <w:r w:rsidRPr="00C118A2">
              <w:rPr>
                <w:rFonts w:cstheme="minorHAnsi"/>
                <w:b/>
                <w:sz w:val="24"/>
                <w:szCs w:val="24"/>
              </w:rPr>
              <w:t>Objetivo</w:t>
            </w:r>
          </w:p>
        </w:tc>
      </w:tr>
      <w:tr w:rsidR="00471446" w:rsidRPr="00C118A2" w14:paraId="7C21695A" w14:textId="77777777" w:rsidTr="00471446">
        <w:tc>
          <w:tcPr>
            <w:tcW w:w="8978" w:type="dxa"/>
            <w:tcBorders>
              <w:bottom w:val="dotted" w:sz="4" w:space="0" w:color="auto"/>
            </w:tcBorders>
          </w:tcPr>
          <w:p w14:paraId="219F6CE6" w14:textId="4978E348" w:rsidR="00471446" w:rsidRPr="00C118A2" w:rsidRDefault="004C7D6F" w:rsidP="002E1E39">
            <w:pPr>
              <w:jc w:val="both"/>
              <w:rPr>
                <w:rFonts w:cstheme="minorHAnsi"/>
                <w:sz w:val="24"/>
                <w:szCs w:val="24"/>
              </w:rPr>
            </w:pPr>
            <w:r w:rsidRPr="00564836">
              <w:rPr>
                <w:rFonts w:cstheme="minorHAnsi"/>
                <w:sz w:val="24"/>
                <w:szCs w:val="24"/>
              </w:rPr>
              <w:t xml:space="preserve">Establecer </w:t>
            </w:r>
            <w:r w:rsidR="00013460" w:rsidRPr="00564836">
              <w:rPr>
                <w:rFonts w:cstheme="minorHAnsi"/>
                <w:sz w:val="24"/>
                <w:szCs w:val="24"/>
              </w:rPr>
              <w:t xml:space="preserve">el manejo adecuado de </w:t>
            </w:r>
            <w:r w:rsidRPr="00564836">
              <w:rPr>
                <w:rFonts w:cstheme="minorHAnsi"/>
                <w:sz w:val="24"/>
                <w:szCs w:val="24"/>
              </w:rPr>
              <w:t xml:space="preserve">las acciones a seguir cuando se </w:t>
            </w:r>
            <w:r w:rsidR="00AA0986" w:rsidRPr="00564836">
              <w:rPr>
                <w:rFonts w:cstheme="minorHAnsi"/>
                <w:sz w:val="24"/>
                <w:szCs w:val="24"/>
              </w:rPr>
              <w:t>requiera tomar medidas de control a un estudio de investigación,</w:t>
            </w:r>
            <w:r w:rsidRPr="00564836">
              <w:rPr>
                <w:rFonts w:cstheme="minorHAnsi"/>
                <w:sz w:val="24"/>
                <w:szCs w:val="24"/>
              </w:rPr>
              <w:t xml:space="preserve"> </w:t>
            </w:r>
            <w:r w:rsidR="002E1E39" w:rsidRPr="00564836">
              <w:rPr>
                <w:rFonts w:cstheme="minorHAnsi"/>
                <w:sz w:val="24"/>
                <w:szCs w:val="24"/>
              </w:rPr>
              <w:t>cuando apliquen</w:t>
            </w:r>
            <w:r w:rsidR="00AA0986" w:rsidRPr="00564836">
              <w:rPr>
                <w:rFonts w:cstheme="minorHAnsi"/>
                <w:sz w:val="24"/>
                <w:szCs w:val="24"/>
              </w:rPr>
              <w:t xml:space="preserve">. </w:t>
            </w:r>
          </w:p>
        </w:tc>
      </w:tr>
      <w:tr w:rsidR="00471446" w:rsidRPr="00C118A2" w14:paraId="569E2CD7" w14:textId="77777777" w:rsidTr="00C118A2">
        <w:tc>
          <w:tcPr>
            <w:tcW w:w="8978" w:type="dxa"/>
            <w:shd w:val="clear" w:color="auto" w:fill="C2D69B" w:themeFill="accent3" w:themeFillTint="99"/>
          </w:tcPr>
          <w:p w14:paraId="28D38B92" w14:textId="77777777" w:rsidR="00471446" w:rsidRPr="00C118A2" w:rsidRDefault="00471446" w:rsidP="00471446">
            <w:pPr>
              <w:jc w:val="center"/>
              <w:rPr>
                <w:rFonts w:cstheme="minorHAnsi"/>
                <w:b/>
                <w:sz w:val="24"/>
                <w:szCs w:val="24"/>
              </w:rPr>
            </w:pPr>
            <w:r w:rsidRPr="00C118A2">
              <w:rPr>
                <w:rFonts w:cstheme="minorHAnsi"/>
                <w:b/>
                <w:sz w:val="24"/>
                <w:szCs w:val="24"/>
              </w:rPr>
              <w:t>Alcance</w:t>
            </w:r>
          </w:p>
        </w:tc>
      </w:tr>
      <w:tr w:rsidR="00471446" w:rsidRPr="00C118A2" w14:paraId="48CE228F" w14:textId="77777777" w:rsidTr="00471446">
        <w:tc>
          <w:tcPr>
            <w:tcW w:w="8978" w:type="dxa"/>
          </w:tcPr>
          <w:p w14:paraId="0D2B14EB" w14:textId="7C37CD48" w:rsidR="00471446" w:rsidRPr="00C118A2" w:rsidRDefault="00AA0986" w:rsidP="002E1E39">
            <w:pPr>
              <w:jc w:val="both"/>
              <w:rPr>
                <w:rFonts w:cstheme="minorHAnsi"/>
                <w:sz w:val="24"/>
                <w:szCs w:val="24"/>
              </w:rPr>
            </w:pPr>
            <w:r>
              <w:rPr>
                <w:rFonts w:cstheme="minorHAnsi"/>
                <w:sz w:val="24"/>
                <w:szCs w:val="24"/>
              </w:rPr>
              <w:t>Todos los protocolos aprobados por</w:t>
            </w:r>
            <w:r w:rsidR="002E1E39">
              <w:rPr>
                <w:rFonts w:cstheme="minorHAnsi"/>
                <w:sz w:val="24"/>
                <w:szCs w:val="24"/>
              </w:rPr>
              <w:t xml:space="preserve"> el CNBI. </w:t>
            </w:r>
          </w:p>
        </w:tc>
      </w:tr>
    </w:tbl>
    <w:p w14:paraId="2710A1B7" w14:textId="77777777" w:rsidR="00471446" w:rsidRPr="00C118A2" w:rsidRDefault="00471446" w:rsidP="00471446">
      <w:pPr>
        <w:spacing w:after="0" w:line="240" w:lineRule="auto"/>
        <w:rPr>
          <w:rFonts w:cstheme="minorHAnsi"/>
          <w:sz w:val="24"/>
          <w:szCs w:val="24"/>
        </w:rPr>
      </w:pPr>
    </w:p>
    <w:p w14:paraId="4418B42F" w14:textId="77777777" w:rsidR="00A85348" w:rsidRPr="00C118A2" w:rsidRDefault="00A85348" w:rsidP="00471446">
      <w:pPr>
        <w:spacing w:after="0" w:line="240" w:lineRule="auto"/>
        <w:rPr>
          <w:rFonts w:cstheme="minorHAnsi"/>
          <w:sz w:val="24"/>
          <w:szCs w:val="24"/>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31"/>
        <w:gridCol w:w="6897"/>
      </w:tblGrid>
      <w:tr w:rsidR="00471446" w:rsidRPr="00C118A2" w14:paraId="6617E457" w14:textId="77777777" w:rsidTr="00D825D0">
        <w:tc>
          <w:tcPr>
            <w:tcW w:w="8828" w:type="dxa"/>
            <w:gridSpan w:val="2"/>
            <w:shd w:val="clear" w:color="auto" w:fill="C2D69B" w:themeFill="accent3" w:themeFillTint="99"/>
          </w:tcPr>
          <w:p w14:paraId="02C54C97" w14:textId="77777777" w:rsidR="00471446" w:rsidRPr="00C118A2" w:rsidRDefault="00471446" w:rsidP="00471446">
            <w:pPr>
              <w:jc w:val="center"/>
              <w:rPr>
                <w:rFonts w:cstheme="minorHAnsi"/>
                <w:b/>
                <w:sz w:val="24"/>
                <w:szCs w:val="24"/>
              </w:rPr>
            </w:pPr>
            <w:r w:rsidRPr="00C118A2">
              <w:rPr>
                <w:rFonts w:cstheme="minorHAnsi"/>
                <w:b/>
                <w:sz w:val="24"/>
                <w:szCs w:val="24"/>
              </w:rPr>
              <w:t>Definiciones</w:t>
            </w:r>
          </w:p>
        </w:tc>
      </w:tr>
      <w:tr w:rsidR="002E1E39" w:rsidRPr="00C118A2" w14:paraId="0E36AD1E" w14:textId="77777777" w:rsidTr="00D825D0">
        <w:tc>
          <w:tcPr>
            <w:tcW w:w="1931" w:type="dxa"/>
            <w:vAlign w:val="center"/>
          </w:tcPr>
          <w:p w14:paraId="3D9FD33F" w14:textId="54EF9DAF" w:rsidR="002E1E39" w:rsidRPr="00C118A2" w:rsidRDefault="00AA0986" w:rsidP="00F64555">
            <w:pPr>
              <w:rPr>
                <w:rFonts w:cstheme="minorHAnsi"/>
                <w:sz w:val="24"/>
                <w:szCs w:val="24"/>
              </w:rPr>
            </w:pPr>
            <w:r>
              <w:rPr>
                <w:rFonts w:cstheme="minorHAnsi"/>
                <w:sz w:val="24"/>
                <w:szCs w:val="24"/>
              </w:rPr>
              <w:t xml:space="preserve">Medidas de Control </w:t>
            </w:r>
          </w:p>
        </w:tc>
        <w:tc>
          <w:tcPr>
            <w:tcW w:w="6897" w:type="dxa"/>
            <w:vAlign w:val="center"/>
          </w:tcPr>
          <w:p w14:paraId="3777E91C" w14:textId="7C1F3311" w:rsidR="002E1E39" w:rsidRPr="00332C23" w:rsidRDefault="00501A72" w:rsidP="00501A72">
            <w:pPr>
              <w:jc w:val="both"/>
              <w:rPr>
                <w:rFonts w:cstheme="minorHAnsi"/>
                <w:sz w:val="24"/>
                <w:szCs w:val="24"/>
              </w:rPr>
            </w:pPr>
            <w:r>
              <w:rPr>
                <w:rFonts w:cstheme="minorHAnsi"/>
                <w:sz w:val="24"/>
                <w:szCs w:val="24"/>
              </w:rPr>
              <w:t>Según lo establecido en la Ley 84 de 2019, artículo 43, c</w:t>
            </w:r>
            <w:r w:rsidRPr="00501A72">
              <w:rPr>
                <w:rFonts w:cstheme="minorHAnsi"/>
                <w:sz w:val="24"/>
                <w:szCs w:val="24"/>
              </w:rPr>
              <w:t xml:space="preserve">uando el </w:t>
            </w:r>
            <w:r w:rsidRPr="00564836">
              <w:rPr>
                <w:rFonts w:cstheme="minorHAnsi"/>
                <w:sz w:val="24"/>
                <w:szCs w:val="24"/>
              </w:rPr>
              <w:t xml:space="preserve">Comité Nacional de Bioética de la Investigación tenga conocimiento de hechos que contravengan los estándares éticos de la investigación quedará facultado para tomar ciertas medidas de control sobre los estudios de investigación </w:t>
            </w:r>
            <w:r w:rsidR="00013460" w:rsidRPr="00564836">
              <w:rPr>
                <w:rFonts w:cstheme="minorHAnsi"/>
                <w:sz w:val="24"/>
                <w:szCs w:val="24"/>
              </w:rPr>
              <w:t>aprobados</w:t>
            </w:r>
            <w:r w:rsidR="00564836" w:rsidRPr="00564836">
              <w:rPr>
                <w:rFonts w:cstheme="minorHAnsi"/>
                <w:sz w:val="24"/>
                <w:szCs w:val="24"/>
              </w:rPr>
              <w:t xml:space="preserve">. </w:t>
            </w:r>
          </w:p>
        </w:tc>
      </w:tr>
    </w:tbl>
    <w:p w14:paraId="4D6747F5" w14:textId="77777777" w:rsidR="00471446" w:rsidRPr="00C118A2" w:rsidRDefault="00471446" w:rsidP="00471446">
      <w:pPr>
        <w:spacing w:after="0" w:line="240" w:lineRule="auto"/>
        <w:rPr>
          <w:rFonts w:cstheme="minorHAnsi"/>
          <w:sz w:val="24"/>
          <w:szCs w:val="24"/>
        </w:rPr>
      </w:pPr>
    </w:p>
    <w:p w14:paraId="0E4071A7" w14:textId="77777777" w:rsidR="00A85348" w:rsidRDefault="00A85348" w:rsidP="00471446">
      <w:pPr>
        <w:spacing w:after="0" w:line="240" w:lineRule="auto"/>
        <w:rPr>
          <w:rFonts w:cstheme="minorHAnsi"/>
          <w:sz w:val="24"/>
          <w:szCs w:val="24"/>
        </w:rPr>
      </w:pPr>
    </w:p>
    <w:p w14:paraId="63FF8B43" w14:textId="77777777" w:rsidR="00985779" w:rsidRPr="00C118A2" w:rsidRDefault="00985779" w:rsidP="00471446">
      <w:pPr>
        <w:spacing w:after="0" w:line="240" w:lineRule="auto"/>
        <w:rPr>
          <w:rFonts w:cstheme="minorHAnsi"/>
          <w:sz w:val="24"/>
          <w:szCs w:val="24"/>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34"/>
        <w:gridCol w:w="6894"/>
      </w:tblGrid>
      <w:tr w:rsidR="00471446" w:rsidRPr="00C118A2" w14:paraId="225D7FA7" w14:textId="77777777" w:rsidTr="00B206A2">
        <w:tc>
          <w:tcPr>
            <w:tcW w:w="8828" w:type="dxa"/>
            <w:gridSpan w:val="2"/>
            <w:shd w:val="clear" w:color="auto" w:fill="C2D69B" w:themeFill="accent3" w:themeFillTint="99"/>
          </w:tcPr>
          <w:p w14:paraId="5954B981" w14:textId="77777777" w:rsidR="00471446" w:rsidRPr="00C118A2" w:rsidRDefault="00471446" w:rsidP="00711C2C">
            <w:pPr>
              <w:jc w:val="center"/>
              <w:rPr>
                <w:rFonts w:cstheme="minorHAnsi"/>
                <w:b/>
                <w:sz w:val="24"/>
                <w:szCs w:val="24"/>
              </w:rPr>
            </w:pPr>
            <w:r w:rsidRPr="00C118A2">
              <w:rPr>
                <w:rFonts w:cstheme="minorHAnsi"/>
                <w:b/>
                <w:sz w:val="24"/>
                <w:szCs w:val="24"/>
              </w:rPr>
              <w:t>Responsabilidades</w:t>
            </w:r>
          </w:p>
        </w:tc>
      </w:tr>
      <w:tr w:rsidR="00EE5D02" w:rsidRPr="00C118A2" w14:paraId="6371A9E5" w14:textId="77777777" w:rsidTr="00B206A2">
        <w:tc>
          <w:tcPr>
            <w:tcW w:w="1934" w:type="dxa"/>
            <w:vAlign w:val="center"/>
          </w:tcPr>
          <w:p w14:paraId="77F6F1D2" w14:textId="77777777" w:rsidR="00EE5D02" w:rsidRPr="00C118A2" w:rsidRDefault="00EE5D02" w:rsidP="007007BF">
            <w:pPr>
              <w:jc w:val="center"/>
              <w:rPr>
                <w:rFonts w:cstheme="minorHAnsi"/>
                <w:sz w:val="24"/>
                <w:szCs w:val="24"/>
              </w:rPr>
            </w:pPr>
            <w:r>
              <w:rPr>
                <w:rFonts w:cstheme="minorHAnsi"/>
                <w:sz w:val="24"/>
                <w:szCs w:val="24"/>
              </w:rPr>
              <w:t>Secretar</w:t>
            </w:r>
            <w:r w:rsidR="00BE4FEA">
              <w:rPr>
                <w:rFonts w:cstheme="minorHAnsi"/>
                <w:sz w:val="24"/>
                <w:szCs w:val="24"/>
              </w:rPr>
              <w:t>ía</w:t>
            </w:r>
            <w:r>
              <w:rPr>
                <w:rFonts w:cstheme="minorHAnsi"/>
                <w:sz w:val="24"/>
                <w:szCs w:val="24"/>
              </w:rPr>
              <w:t xml:space="preserve"> del CNBI</w:t>
            </w:r>
          </w:p>
        </w:tc>
        <w:tc>
          <w:tcPr>
            <w:tcW w:w="6894" w:type="dxa"/>
            <w:vAlign w:val="center"/>
          </w:tcPr>
          <w:p w14:paraId="57A8026B" w14:textId="49A9E62F" w:rsidR="00EE5D02" w:rsidRPr="00C118A2" w:rsidRDefault="009C4A15" w:rsidP="007007BF">
            <w:pPr>
              <w:jc w:val="both"/>
              <w:rPr>
                <w:rFonts w:cstheme="minorHAnsi"/>
                <w:sz w:val="24"/>
                <w:szCs w:val="24"/>
              </w:rPr>
            </w:pPr>
            <w:r>
              <w:rPr>
                <w:rFonts w:cstheme="minorHAnsi"/>
                <w:sz w:val="24"/>
                <w:szCs w:val="24"/>
              </w:rPr>
              <w:t xml:space="preserve">Recibir y tramitar adecuadamente toda </w:t>
            </w:r>
            <w:r w:rsidR="008E726D">
              <w:rPr>
                <w:rFonts w:cstheme="minorHAnsi"/>
                <w:sz w:val="24"/>
                <w:szCs w:val="24"/>
              </w:rPr>
              <w:t>solicitud</w:t>
            </w:r>
            <w:r>
              <w:rPr>
                <w:rFonts w:cstheme="minorHAnsi"/>
                <w:sz w:val="24"/>
                <w:szCs w:val="24"/>
              </w:rPr>
              <w:t xml:space="preserve"> presentada ante el CNBI</w:t>
            </w:r>
            <w:r w:rsidR="00B206A2">
              <w:rPr>
                <w:rFonts w:cstheme="minorHAnsi"/>
                <w:sz w:val="24"/>
                <w:szCs w:val="24"/>
              </w:rPr>
              <w:t>.</w:t>
            </w:r>
          </w:p>
        </w:tc>
      </w:tr>
      <w:tr w:rsidR="00B206A2" w:rsidRPr="00C118A2" w14:paraId="004C9ED9" w14:textId="77777777" w:rsidTr="00B206A2">
        <w:tc>
          <w:tcPr>
            <w:tcW w:w="1934" w:type="dxa"/>
            <w:vAlign w:val="center"/>
          </w:tcPr>
          <w:p w14:paraId="1A8FAD08" w14:textId="77777777" w:rsidR="00B206A2" w:rsidRDefault="00B206A2" w:rsidP="007007BF">
            <w:pPr>
              <w:jc w:val="center"/>
              <w:rPr>
                <w:rFonts w:cstheme="minorHAnsi"/>
                <w:sz w:val="24"/>
                <w:szCs w:val="24"/>
              </w:rPr>
            </w:pPr>
            <w:r>
              <w:rPr>
                <w:rFonts w:cstheme="minorHAnsi"/>
                <w:sz w:val="24"/>
                <w:szCs w:val="24"/>
              </w:rPr>
              <w:t>Presidente del CNBI</w:t>
            </w:r>
          </w:p>
        </w:tc>
        <w:tc>
          <w:tcPr>
            <w:tcW w:w="6894" w:type="dxa"/>
            <w:vAlign w:val="center"/>
          </w:tcPr>
          <w:p w14:paraId="14EDC288" w14:textId="7D69DC0F" w:rsidR="00B206A2" w:rsidRDefault="00B206A2" w:rsidP="00B206A2">
            <w:pPr>
              <w:jc w:val="both"/>
              <w:rPr>
                <w:rFonts w:cstheme="minorHAnsi"/>
                <w:sz w:val="24"/>
                <w:szCs w:val="24"/>
              </w:rPr>
            </w:pPr>
            <w:r>
              <w:rPr>
                <w:rFonts w:cstheme="minorHAnsi"/>
                <w:sz w:val="24"/>
                <w:szCs w:val="24"/>
              </w:rPr>
              <w:t>Responsable de garantizar, en</w:t>
            </w:r>
            <w:r w:rsidRPr="00C118A2">
              <w:rPr>
                <w:rFonts w:cstheme="minorHAnsi"/>
                <w:sz w:val="24"/>
                <w:szCs w:val="24"/>
              </w:rPr>
              <w:t xml:space="preserve"> apego al presente procedimiento</w:t>
            </w:r>
            <w:r>
              <w:rPr>
                <w:rFonts w:cstheme="minorHAnsi"/>
                <w:sz w:val="24"/>
                <w:szCs w:val="24"/>
              </w:rPr>
              <w:t xml:space="preserve">, que el CNBI </w:t>
            </w:r>
            <w:r w:rsidR="008E726D">
              <w:rPr>
                <w:rFonts w:cstheme="minorHAnsi"/>
                <w:sz w:val="24"/>
                <w:szCs w:val="24"/>
              </w:rPr>
              <w:t xml:space="preserve">aplique las medidas de control necesarias, según corresponda. </w:t>
            </w:r>
          </w:p>
        </w:tc>
      </w:tr>
      <w:tr w:rsidR="00471446" w:rsidRPr="00C118A2" w14:paraId="42115F92" w14:textId="77777777" w:rsidTr="00B206A2">
        <w:tc>
          <w:tcPr>
            <w:tcW w:w="1934" w:type="dxa"/>
            <w:vAlign w:val="center"/>
          </w:tcPr>
          <w:p w14:paraId="16768A3B" w14:textId="77777777" w:rsidR="00471446" w:rsidRPr="00C118A2" w:rsidRDefault="00390BAB" w:rsidP="007007BF">
            <w:pPr>
              <w:jc w:val="center"/>
              <w:rPr>
                <w:rFonts w:cstheme="minorHAnsi"/>
                <w:sz w:val="24"/>
                <w:szCs w:val="24"/>
              </w:rPr>
            </w:pPr>
            <w:r w:rsidRPr="00C118A2">
              <w:rPr>
                <w:rFonts w:cstheme="minorHAnsi"/>
                <w:sz w:val="24"/>
                <w:szCs w:val="24"/>
              </w:rPr>
              <w:t>Miembros del CNB</w:t>
            </w:r>
            <w:r w:rsidR="003C7431" w:rsidRPr="00C118A2">
              <w:rPr>
                <w:rFonts w:cstheme="minorHAnsi"/>
                <w:sz w:val="24"/>
                <w:szCs w:val="24"/>
              </w:rPr>
              <w:t>I</w:t>
            </w:r>
          </w:p>
        </w:tc>
        <w:tc>
          <w:tcPr>
            <w:tcW w:w="6894" w:type="dxa"/>
            <w:vAlign w:val="center"/>
          </w:tcPr>
          <w:p w14:paraId="5CA1B108" w14:textId="250E0115" w:rsidR="00471446" w:rsidRPr="00C118A2" w:rsidRDefault="00B206A2" w:rsidP="00B206A2">
            <w:pPr>
              <w:jc w:val="both"/>
              <w:rPr>
                <w:rFonts w:cstheme="minorHAnsi"/>
                <w:sz w:val="24"/>
                <w:szCs w:val="24"/>
              </w:rPr>
            </w:pPr>
            <w:r>
              <w:rPr>
                <w:rFonts w:cstheme="minorHAnsi"/>
                <w:sz w:val="24"/>
                <w:szCs w:val="24"/>
              </w:rPr>
              <w:t>Conocer</w:t>
            </w:r>
            <w:r w:rsidR="007007BF" w:rsidRPr="00C118A2">
              <w:rPr>
                <w:rFonts w:cstheme="minorHAnsi"/>
                <w:sz w:val="24"/>
                <w:szCs w:val="24"/>
              </w:rPr>
              <w:t xml:space="preserve"> </w:t>
            </w:r>
            <w:r>
              <w:rPr>
                <w:rFonts w:cstheme="minorHAnsi"/>
                <w:sz w:val="24"/>
                <w:szCs w:val="24"/>
              </w:rPr>
              <w:t xml:space="preserve">y considerar adecuadamente </w:t>
            </w:r>
            <w:r w:rsidR="008E726D">
              <w:rPr>
                <w:rFonts w:cstheme="minorHAnsi"/>
                <w:sz w:val="24"/>
                <w:szCs w:val="24"/>
              </w:rPr>
              <w:t>las medidas de control necesarias, según corresponda.</w:t>
            </w:r>
          </w:p>
        </w:tc>
      </w:tr>
    </w:tbl>
    <w:p w14:paraId="2F8C4406" w14:textId="77777777" w:rsidR="00471446" w:rsidRPr="00C118A2" w:rsidRDefault="00471446" w:rsidP="00471446">
      <w:pPr>
        <w:spacing w:after="0" w:line="240" w:lineRule="auto"/>
        <w:rPr>
          <w:rFonts w:cstheme="minorHAnsi"/>
          <w:sz w:val="24"/>
          <w:szCs w:val="24"/>
        </w:rPr>
      </w:pPr>
    </w:p>
    <w:p w14:paraId="331A67CE" w14:textId="77777777" w:rsidR="00A85348" w:rsidRPr="00C118A2" w:rsidRDefault="00A85348" w:rsidP="00471446">
      <w:pPr>
        <w:spacing w:after="0" w:line="240" w:lineRule="auto"/>
        <w:rPr>
          <w:rFonts w:cstheme="minorHAnsi"/>
          <w:sz w:val="24"/>
          <w:szCs w:val="24"/>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28"/>
      </w:tblGrid>
      <w:tr w:rsidR="00471446" w:rsidRPr="00C118A2" w14:paraId="6F26E99E" w14:textId="77777777" w:rsidTr="00C118A2">
        <w:tc>
          <w:tcPr>
            <w:tcW w:w="8978" w:type="dxa"/>
            <w:shd w:val="clear" w:color="auto" w:fill="C2D69B" w:themeFill="accent3" w:themeFillTint="99"/>
          </w:tcPr>
          <w:p w14:paraId="170D2A92" w14:textId="77777777" w:rsidR="00471446" w:rsidRPr="00C118A2" w:rsidRDefault="00471446" w:rsidP="00471446">
            <w:pPr>
              <w:jc w:val="center"/>
              <w:rPr>
                <w:rFonts w:cstheme="minorHAnsi"/>
                <w:b/>
                <w:sz w:val="24"/>
                <w:szCs w:val="24"/>
              </w:rPr>
            </w:pPr>
            <w:r w:rsidRPr="00C118A2">
              <w:rPr>
                <w:rFonts w:cstheme="minorHAnsi"/>
                <w:b/>
                <w:sz w:val="24"/>
                <w:szCs w:val="24"/>
              </w:rPr>
              <w:t>Descripción del procedimiento</w:t>
            </w:r>
          </w:p>
        </w:tc>
      </w:tr>
      <w:tr w:rsidR="00471446" w:rsidRPr="00C118A2" w14:paraId="37DAE272" w14:textId="77777777" w:rsidTr="00471446">
        <w:tc>
          <w:tcPr>
            <w:tcW w:w="8978" w:type="dxa"/>
          </w:tcPr>
          <w:p w14:paraId="42DD56A6" w14:textId="43220543" w:rsidR="00471446" w:rsidRPr="00C118A2" w:rsidRDefault="008E726D" w:rsidP="00F364D9">
            <w:pPr>
              <w:pStyle w:val="Prrafodelista"/>
              <w:numPr>
                <w:ilvl w:val="0"/>
                <w:numId w:val="2"/>
              </w:numPr>
              <w:rPr>
                <w:rFonts w:cstheme="minorHAnsi"/>
                <w:b/>
                <w:sz w:val="24"/>
                <w:szCs w:val="24"/>
              </w:rPr>
            </w:pPr>
            <w:r>
              <w:rPr>
                <w:rFonts w:cstheme="minorHAnsi"/>
                <w:b/>
                <w:sz w:val="24"/>
                <w:szCs w:val="24"/>
              </w:rPr>
              <w:t>Inicio del proceso</w:t>
            </w:r>
          </w:p>
          <w:p w14:paraId="21594FC2" w14:textId="56745373" w:rsidR="008978F0" w:rsidRPr="00564836" w:rsidRDefault="008E726D" w:rsidP="00501A72">
            <w:pPr>
              <w:jc w:val="both"/>
              <w:rPr>
                <w:rFonts w:cstheme="minorHAnsi"/>
                <w:sz w:val="24"/>
                <w:szCs w:val="24"/>
              </w:rPr>
            </w:pPr>
            <w:r w:rsidRPr="00564836">
              <w:rPr>
                <w:rFonts w:cstheme="minorHAnsi"/>
                <w:sz w:val="24"/>
                <w:szCs w:val="24"/>
              </w:rPr>
              <w:t>Una vez el estudio ha sido aprobado,</w:t>
            </w:r>
            <w:r w:rsidR="00013460" w:rsidRPr="00564836">
              <w:rPr>
                <w:rFonts w:cstheme="minorHAnsi"/>
                <w:sz w:val="24"/>
                <w:szCs w:val="24"/>
              </w:rPr>
              <w:t xml:space="preserve"> y</w:t>
            </w:r>
            <w:r w:rsidRPr="00564836">
              <w:rPr>
                <w:rFonts w:cstheme="minorHAnsi"/>
                <w:sz w:val="24"/>
                <w:szCs w:val="24"/>
              </w:rPr>
              <w:t xml:space="preserve"> esté en fase de ejecución, puede surgir algún evento, suceso, desviación o violación mayor al curso del estudio, </w:t>
            </w:r>
            <w:r w:rsidR="00013460" w:rsidRPr="00564836">
              <w:rPr>
                <w:rFonts w:cstheme="minorHAnsi"/>
                <w:sz w:val="24"/>
                <w:szCs w:val="24"/>
              </w:rPr>
              <w:t>que supone</w:t>
            </w:r>
            <w:r w:rsidRPr="00564836">
              <w:rPr>
                <w:rFonts w:cstheme="minorHAnsi"/>
                <w:sz w:val="24"/>
                <w:szCs w:val="24"/>
              </w:rPr>
              <w:t xml:space="preserve"> una falta ética</w:t>
            </w:r>
            <w:r w:rsidR="00013460" w:rsidRPr="00564836">
              <w:rPr>
                <w:rFonts w:cstheme="minorHAnsi"/>
                <w:sz w:val="24"/>
                <w:szCs w:val="24"/>
              </w:rPr>
              <w:t>. E</w:t>
            </w:r>
            <w:r w:rsidR="00501A72" w:rsidRPr="00564836">
              <w:rPr>
                <w:rFonts w:cstheme="minorHAnsi"/>
                <w:sz w:val="24"/>
                <w:szCs w:val="24"/>
              </w:rPr>
              <w:t xml:space="preserve">l CNBI podrá intervenir e iniciar una investigación sobre este evento. </w:t>
            </w:r>
          </w:p>
          <w:p w14:paraId="61617772" w14:textId="47B244DC" w:rsidR="00501A72" w:rsidRPr="00564836" w:rsidRDefault="00501A72" w:rsidP="00501A72">
            <w:pPr>
              <w:jc w:val="both"/>
              <w:rPr>
                <w:rFonts w:cstheme="minorHAnsi"/>
                <w:sz w:val="24"/>
                <w:szCs w:val="24"/>
              </w:rPr>
            </w:pPr>
            <w:r w:rsidRPr="00564836">
              <w:rPr>
                <w:rFonts w:cstheme="minorHAnsi"/>
                <w:sz w:val="24"/>
                <w:szCs w:val="24"/>
              </w:rPr>
              <w:t xml:space="preserve">Como parte de la investigación, el CNBI podrá realizar entrevistas con el investigador, auditorías al estudio y sitio de estudio, entre otras acciones necesarias para tomar una decisión. </w:t>
            </w:r>
          </w:p>
          <w:p w14:paraId="1D087CD9" w14:textId="69AA4AE6" w:rsidR="00564836" w:rsidRDefault="00564836" w:rsidP="00501A72">
            <w:pPr>
              <w:jc w:val="both"/>
              <w:rPr>
                <w:rFonts w:cstheme="minorHAnsi"/>
                <w:sz w:val="24"/>
                <w:szCs w:val="24"/>
              </w:rPr>
            </w:pPr>
          </w:p>
          <w:p w14:paraId="450850FE" w14:textId="77777777" w:rsidR="00564836" w:rsidRDefault="00564836" w:rsidP="00501A72">
            <w:pPr>
              <w:jc w:val="both"/>
              <w:rPr>
                <w:rFonts w:cstheme="minorHAnsi"/>
                <w:sz w:val="24"/>
                <w:szCs w:val="24"/>
              </w:rPr>
            </w:pPr>
          </w:p>
          <w:p w14:paraId="6C2A6C2B" w14:textId="5110531E" w:rsidR="00501A72" w:rsidRPr="002A7CAF" w:rsidRDefault="00501A72" w:rsidP="00501A72">
            <w:pPr>
              <w:pStyle w:val="Prrafodelista"/>
              <w:numPr>
                <w:ilvl w:val="0"/>
                <w:numId w:val="2"/>
              </w:numPr>
              <w:jc w:val="both"/>
              <w:rPr>
                <w:rFonts w:cstheme="minorHAnsi"/>
                <w:b/>
                <w:bCs/>
                <w:sz w:val="24"/>
                <w:szCs w:val="24"/>
              </w:rPr>
            </w:pPr>
            <w:r w:rsidRPr="002A7CAF">
              <w:rPr>
                <w:rFonts w:cstheme="minorHAnsi"/>
                <w:b/>
                <w:bCs/>
                <w:sz w:val="24"/>
                <w:szCs w:val="24"/>
              </w:rPr>
              <w:lastRenderedPageBreak/>
              <w:t xml:space="preserve">Decisión </w:t>
            </w:r>
          </w:p>
          <w:p w14:paraId="7A5175C5" w14:textId="67096BF3" w:rsidR="00501A72" w:rsidRDefault="00501A72" w:rsidP="00501A72">
            <w:pPr>
              <w:jc w:val="both"/>
              <w:rPr>
                <w:rFonts w:cstheme="minorHAnsi"/>
                <w:sz w:val="24"/>
                <w:szCs w:val="24"/>
              </w:rPr>
            </w:pPr>
            <w:r>
              <w:rPr>
                <w:rFonts w:cstheme="minorHAnsi"/>
                <w:sz w:val="24"/>
                <w:szCs w:val="24"/>
              </w:rPr>
              <w:t>Una vez finalizada la investigación, según lo establecido en la Ley 84 de 2019, el CNBI podrá tomar las siguientes medidas</w:t>
            </w:r>
            <w:r w:rsidR="00F268D4">
              <w:rPr>
                <w:rFonts w:cstheme="minorHAnsi"/>
                <w:sz w:val="24"/>
                <w:szCs w:val="24"/>
              </w:rPr>
              <w:t xml:space="preserve"> de control</w:t>
            </w:r>
            <w:r>
              <w:rPr>
                <w:rFonts w:cstheme="minorHAnsi"/>
                <w:sz w:val="24"/>
                <w:szCs w:val="24"/>
              </w:rPr>
              <w:t xml:space="preserve">: </w:t>
            </w:r>
          </w:p>
          <w:p w14:paraId="7E84BA45" w14:textId="77777777" w:rsidR="00501A72" w:rsidRDefault="00501A72" w:rsidP="00501A72">
            <w:pPr>
              <w:jc w:val="both"/>
              <w:rPr>
                <w:rFonts w:cstheme="minorHAnsi"/>
                <w:sz w:val="24"/>
                <w:szCs w:val="24"/>
              </w:rPr>
            </w:pPr>
          </w:p>
          <w:p w14:paraId="4934EB81" w14:textId="52C4F15D" w:rsidR="00501A72" w:rsidRPr="00501A72" w:rsidRDefault="00501A72" w:rsidP="00501A72">
            <w:pPr>
              <w:pStyle w:val="Prrafodelista"/>
              <w:numPr>
                <w:ilvl w:val="0"/>
                <w:numId w:val="8"/>
              </w:numPr>
              <w:jc w:val="both"/>
              <w:rPr>
                <w:rFonts w:cstheme="minorHAnsi"/>
                <w:sz w:val="24"/>
                <w:szCs w:val="24"/>
              </w:rPr>
            </w:pPr>
            <w:r w:rsidRPr="00501A72">
              <w:rPr>
                <w:rFonts w:cstheme="minorHAnsi"/>
                <w:sz w:val="24"/>
                <w:szCs w:val="24"/>
              </w:rPr>
              <w:t>Notificación escrita al investigador sobre la obligatoriedad de cumplir los estándares</w:t>
            </w:r>
            <w:r>
              <w:rPr>
                <w:rFonts w:cstheme="minorHAnsi"/>
                <w:sz w:val="24"/>
                <w:szCs w:val="24"/>
              </w:rPr>
              <w:t xml:space="preserve"> </w:t>
            </w:r>
            <w:r w:rsidRPr="00501A72">
              <w:rPr>
                <w:rFonts w:cstheme="minorHAnsi"/>
                <w:sz w:val="24"/>
                <w:szCs w:val="24"/>
              </w:rPr>
              <w:t>éticos.</w:t>
            </w:r>
          </w:p>
          <w:p w14:paraId="0E3B97BF" w14:textId="44EAF316" w:rsidR="00501A72" w:rsidRPr="00501A72" w:rsidRDefault="00501A72" w:rsidP="00501A72">
            <w:pPr>
              <w:pStyle w:val="Prrafodelista"/>
              <w:numPr>
                <w:ilvl w:val="0"/>
                <w:numId w:val="8"/>
              </w:numPr>
              <w:jc w:val="both"/>
              <w:rPr>
                <w:rFonts w:cstheme="minorHAnsi"/>
                <w:sz w:val="24"/>
                <w:szCs w:val="24"/>
              </w:rPr>
            </w:pPr>
            <w:r w:rsidRPr="00501A72">
              <w:rPr>
                <w:rFonts w:cstheme="minorHAnsi"/>
                <w:sz w:val="24"/>
                <w:szCs w:val="24"/>
              </w:rPr>
              <w:t>Suspensión temporal de la aprobación ética de una investigación.</w:t>
            </w:r>
          </w:p>
          <w:p w14:paraId="21A84E41" w14:textId="5373C168" w:rsidR="00501A72" w:rsidRPr="00985779" w:rsidRDefault="00501A72" w:rsidP="00501A72">
            <w:pPr>
              <w:pStyle w:val="Prrafodelista"/>
              <w:numPr>
                <w:ilvl w:val="0"/>
                <w:numId w:val="8"/>
              </w:numPr>
              <w:jc w:val="both"/>
              <w:rPr>
                <w:rFonts w:cstheme="minorHAnsi"/>
                <w:sz w:val="24"/>
                <w:szCs w:val="24"/>
              </w:rPr>
            </w:pPr>
            <w:r w:rsidRPr="00985779">
              <w:rPr>
                <w:rFonts w:cstheme="minorHAnsi"/>
                <w:sz w:val="24"/>
                <w:szCs w:val="24"/>
              </w:rPr>
              <w:t>Suspensión definitiva de la aprobación ética de una investigación.</w:t>
            </w:r>
            <w:r w:rsidR="00985779" w:rsidRPr="00985779">
              <w:rPr>
                <w:rFonts w:cstheme="minorHAnsi"/>
                <w:sz w:val="24"/>
                <w:szCs w:val="24"/>
              </w:rPr>
              <w:t xml:space="preserve"> </w:t>
            </w:r>
          </w:p>
          <w:p w14:paraId="2B25B769" w14:textId="77777777" w:rsidR="00985779" w:rsidRDefault="00985779" w:rsidP="00985779">
            <w:pPr>
              <w:pStyle w:val="Prrafodelista"/>
              <w:ind w:left="360"/>
              <w:jc w:val="both"/>
              <w:rPr>
                <w:rFonts w:cstheme="minorHAnsi"/>
                <w:sz w:val="24"/>
                <w:szCs w:val="24"/>
              </w:rPr>
            </w:pPr>
          </w:p>
          <w:p w14:paraId="0374CEBD" w14:textId="77777777" w:rsidR="00985779" w:rsidRPr="00985779" w:rsidRDefault="00985779" w:rsidP="00985779">
            <w:pPr>
              <w:pStyle w:val="Prrafodelista"/>
              <w:ind w:left="360"/>
              <w:jc w:val="both"/>
              <w:rPr>
                <w:rFonts w:cstheme="minorHAnsi"/>
                <w:sz w:val="24"/>
                <w:szCs w:val="24"/>
              </w:rPr>
            </w:pPr>
          </w:p>
          <w:p w14:paraId="7C84DDB9" w14:textId="4E831371" w:rsidR="002A7CAF" w:rsidRPr="002A7CAF" w:rsidRDefault="002A7CAF" w:rsidP="002A7CAF">
            <w:pPr>
              <w:pStyle w:val="Prrafodelista"/>
              <w:numPr>
                <w:ilvl w:val="0"/>
                <w:numId w:val="10"/>
              </w:numPr>
              <w:jc w:val="both"/>
              <w:rPr>
                <w:rFonts w:cstheme="minorHAnsi"/>
                <w:b/>
                <w:bCs/>
                <w:sz w:val="24"/>
                <w:szCs w:val="24"/>
              </w:rPr>
            </w:pPr>
            <w:r w:rsidRPr="002A7CAF">
              <w:rPr>
                <w:rFonts w:cstheme="minorHAnsi"/>
                <w:b/>
                <w:bCs/>
                <w:sz w:val="24"/>
                <w:szCs w:val="24"/>
              </w:rPr>
              <w:t xml:space="preserve">Comunicación de las medidas de control </w:t>
            </w:r>
          </w:p>
          <w:p w14:paraId="6B0EA791" w14:textId="6B17E847" w:rsidR="00501A72" w:rsidRPr="002A7CAF" w:rsidRDefault="00501A72" w:rsidP="002A7CAF">
            <w:pPr>
              <w:jc w:val="both"/>
              <w:rPr>
                <w:rFonts w:cstheme="minorHAnsi"/>
                <w:sz w:val="24"/>
                <w:szCs w:val="24"/>
              </w:rPr>
            </w:pPr>
            <w:r w:rsidRPr="002A7CAF">
              <w:rPr>
                <w:rFonts w:cstheme="minorHAnsi"/>
                <w:sz w:val="24"/>
                <w:szCs w:val="24"/>
              </w:rPr>
              <w:t xml:space="preserve">Una vez </w:t>
            </w:r>
            <w:r w:rsidRPr="00564836">
              <w:rPr>
                <w:rFonts w:cstheme="minorHAnsi"/>
                <w:sz w:val="24"/>
                <w:szCs w:val="24"/>
              </w:rPr>
              <w:t>tomada la decisión, la misma debe ser comunicada en un plazo no mayo</w:t>
            </w:r>
            <w:r w:rsidR="00013460" w:rsidRPr="00564836">
              <w:rPr>
                <w:rFonts w:cstheme="minorHAnsi"/>
                <w:sz w:val="24"/>
                <w:szCs w:val="24"/>
              </w:rPr>
              <w:t>r</w:t>
            </w:r>
            <w:r w:rsidRPr="00564836">
              <w:rPr>
                <w:rFonts w:cstheme="minorHAnsi"/>
                <w:sz w:val="24"/>
                <w:szCs w:val="24"/>
              </w:rPr>
              <w:t xml:space="preserve"> de </w:t>
            </w:r>
            <w:r w:rsidR="002A7CAF" w:rsidRPr="00564836">
              <w:rPr>
                <w:rFonts w:cstheme="minorHAnsi"/>
                <w:sz w:val="24"/>
                <w:szCs w:val="24"/>
              </w:rPr>
              <w:t>cinco (</w:t>
            </w:r>
            <w:r w:rsidRPr="00564836">
              <w:rPr>
                <w:rFonts w:cstheme="minorHAnsi"/>
                <w:sz w:val="24"/>
                <w:szCs w:val="24"/>
              </w:rPr>
              <w:t>5</w:t>
            </w:r>
            <w:r w:rsidR="002A7CAF" w:rsidRPr="00564836">
              <w:rPr>
                <w:rFonts w:cstheme="minorHAnsi"/>
                <w:sz w:val="24"/>
                <w:szCs w:val="24"/>
              </w:rPr>
              <w:t>)</w:t>
            </w:r>
            <w:r w:rsidRPr="00564836">
              <w:rPr>
                <w:rFonts w:cstheme="minorHAnsi"/>
                <w:sz w:val="24"/>
                <w:szCs w:val="24"/>
              </w:rPr>
              <w:t xml:space="preserve"> días hábiles al investigador principal </w:t>
            </w:r>
            <w:r w:rsidR="00592D44" w:rsidRPr="00564836">
              <w:rPr>
                <w:rFonts w:cstheme="minorHAnsi"/>
                <w:sz w:val="24"/>
                <w:szCs w:val="24"/>
              </w:rPr>
              <w:t xml:space="preserve">aclarando de manera detallada los motivos de esta decisión, la cual </w:t>
            </w:r>
            <w:r w:rsidRPr="00564836">
              <w:rPr>
                <w:rFonts w:cstheme="minorHAnsi"/>
                <w:sz w:val="24"/>
                <w:szCs w:val="24"/>
              </w:rPr>
              <w:t>tendrá vigencia inmediata</w:t>
            </w:r>
            <w:r w:rsidR="002A7CAF" w:rsidRPr="00564836">
              <w:rPr>
                <w:rFonts w:cstheme="minorHAnsi"/>
                <w:sz w:val="24"/>
                <w:szCs w:val="24"/>
              </w:rPr>
              <w:t xml:space="preserve">. </w:t>
            </w:r>
          </w:p>
          <w:p w14:paraId="716ED273" w14:textId="77777777" w:rsidR="002A7CAF" w:rsidRDefault="002A7CAF" w:rsidP="00501A72">
            <w:pPr>
              <w:jc w:val="both"/>
              <w:rPr>
                <w:rFonts w:cstheme="minorHAnsi"/>
                <w:sz w:val="24"/>
                <w:szCs w:val="24"/>
              </w:rPr>
            </w:pPr>
          </w:p>
          <w:p w14:paraId="1DA72640" w14:textId="08003F89" w:rsidR="00501A72" w:rsidRPr="002A7CAF" w:rsidRDefault="00501A72" w:rsidP="002A7CAF">
            <w:pPr>
              <w:jc w:val="both"/>
              <w:rPr>
                <w:rFonts w:cstheme="minorHAnsi"/>
                <w:sz w:val="24"/>
                <w:szCs w:val="24"/>
              </w:rPr>
            </w:pPr>
            <w:r w:rsidRPr="002A7CAF">
              <w:rPr>
                <w:rFonts w:cstheme="minorHAnsi"/>
                <w:sz w:val="24"/>
                <w:szCs w:val="24"/>
              </w:rPr>
              <w:t xml:space="preserve">Las medidas de control establecidas </w:t>
            </w:r>
            <w:r w:rsidR="00F268D4">
              <w:rPr>
                <w:rFonts w:cstheme="minorHAnsi"/>
                <w:sz w:val="24"/>
                <w:szCs w:val="24"/>
              </w:rPr>
              <w:t>podrán ser</w:t>
            </w:r>
            <w:r w:rsidRPr="002A7CAF">
              <w:rPr>
                <w:rFonts w:cstheme="minorHAnsi"/>
                <w:sz w:val="24"/>
                <w:szCs w:val="24"/>
              </w:rPr>
              <w:t xml:space="preserve"> objeto de los recursos de </w:t>
            </w:r>
            <w:proofErr w:type="gramStart"/>
            <w:r w:rsidRPr="002A7CAF">
              <w:rPr>
                <w:rFonts w:cstheme="minorHAnsi"/>
                <w:sz w:val="24"/>
                <w:szCs w:val="24"/>
              </w:rPr>
              <w:t xml:space="preserve">reconsideración </w:t>
            </w:r>
            <w:r w:rsidR="002A7CAF">
              <w:rPr>
                <w:rFonts w:cstheme="minorHAnsi"/>
                <w:sz w:val="24"/>
                <w:szCs w:val="24"/>
              </w:rPr>
              <w:t xml:space="preserve"> </w:t>
            </w:r>
            <w:r w:rsidRPr="002A7CAF">
              <w:rPr>
                <w:rFonts w:cstheme="minorHAnsi"/>
                <w:sz w:val="24"/>
                <w:szCs w:val="24"/>
              </w:rPr>
              <w:t>y</w:t>
            </w:r>
            <w:proofErr w:type="gramEnd"/>
            <w:r w:rsidRPr="002A7CAF">
              <w:rPr>
                <w:rFonts w:cstheme="minorHAnsi"/>
                <w:sz w:val="24"/>
                <w:szCs w:val="24"/>
              </w:rPr>
              <w:t>/o apelación ante la primera o segunda instancia competente</w:t>
            </w:r>
            <w:r w:rsidR="00F268D4">
              <w:rPr>
                <w:rFonts w:cstheme="minorHAnsi"/>
                <w:sz w:val="24"/>
                <w:szCs w:val="24"/>
              </w:rPr>
              <w:t>, respectivamente,</w:t>
            </w:r>
            <w:r w:rsidRPr="002A7CAF">
              <w:rPr>
                <w:rFonts w:cstheme="minorHAnsi"/>
                <w:sz w:val="24"/>
                <w:szCs w:val="24"/>
              </w:rPr>
              <w:t xml:space="preserve"> y se concederán en efecto devolutivo.</w:t>
            </w:r>
          </w:p>
          <w:p w14:paraId="0C7C8500" w14:textId="77777777" w:rsidR="002A7CAF" w:rsidRDefault="002A7CAF" w:rsidP="002A7CAF">
            <w:pPr>
              <w:jc w:val="both"/>
              <w:rPr>
                <w:rFonts w:cstheme="minorHAnsi"/>
                <w:sz w:val="24"/>
                <w:szCs w:val="24"/>
              </w:rPr>
            </w:pPr>
          </w:p>
          <w:p w14:paraId="44958B01" w14:textId="0B9153E0" w:rsidR="00501A72" w:rsidRPr="002A7CAF" w:rsidRDefault="00501A72" w:rsidP="002A7CAF">
            <w:pPr>
              <w:jc w:val="both"/>
              <w:rPr>
                <w:rFonts w:cstheme="minorHAnsi"/>
                <w:sz w:val="24"/>
                <w:szCs w:val="24"/>
              </w:rPr>
            </w:pPr>
            <w:r w:rsidRPr="002A7CAF">
              <w:rPr>
                <w:rFonts w:cstheme="minorHAnsi"/>
                <w:sz w:val="24"/>
                <w:szCs w:val="24"/>
              </w:rPr>
              <w:t>Las medidas de suspensión temporales o definitivas de la aprobación ética de una</w:t>
            </w:r>
            <w:r w:rsidR="002A7CAF">
              <w:rPr>
                <w:rFonts w:cstheme="minorHAnsi"/>
                <w:sz w:val="24"/>
                <w:szCs w:val="24"/>
              </w:rPr>
              <w:t xml:space="preserve"> </w:t>
            </w:r>
            <w:r w:rsidRPr="002A7CAF">
              <w:rPr>
                <w:rFonts w:cstheme="minorHAnsi"/>
                <w:sz w:val="24"/>
                <w:szCs w:val="24"/>
              </w:rPr>
              <w:t>investigación se notificarán de manera inmediata al Ministerio de Salud.</w:t>
            </w:r>
          </w:p>
          <w:p w14:paraId="171A1B80" w14:textId="5F9DCEA5" w:rsidR="002A7CAF" w:rsidRDefault="002A7CAF" w:rsidP="00501A72">
            <w:pPr>
              <w:jc w:val="both"/>
              <w:rPr>
                <w:rFonts w:cstheme="minorHAnsi"/>
                <w:sz w:val="24"/>
                <w:szCs w:val="24"/>
              </w:rPr>
            </w:pPr>
          </w:p>
          <w:p w14:paraId="440D8547" w14:textId="0CC364EF" w:rsidR="002A7CAF" w:rsidRDefault="002A7CAF" w:rsidP="002A7CAF">
            <w:pPr>
              <w:jc w:val="both"/>
              <w:rPr>
                <w:rFonts w:cstheme="minorHAnsi"/>
                <w:sz w:val="24"/>
                <w:szCs w:val="24"/>
              </w:rPr>
            </w:pPr>
            <w:proofErr w:type="gramStart"/>
            <w:r w:rsidRPr="002A7CAF">
              <w:rPr>
                <w:rFonts w:cstheme="minorHAnsi"/>
                <w:sz w:val="24"/>
                <w:szCs w:val="24"/>
              </w:rPr>
              <w:t>En caso que</w:t>
            </w:r>
            <w:proofErr w:type="gramEnd"/>
            <w:r w:rsidRPr="002A7CAF">
              <w:rPr>
                <w:rFonts w:cstheme="minorHAnsi"/>
                <w:sz w:val="24"/>
                <w:szCs w:val="24"/>
              </w:rPr>
              <w:t xml:space="preserve"> el investigador principal realice las correcciones al evento que causara la </w:t>
            </w:r>
            <w:r w:rsidRPr="00FD6167">
              <w:rPr>
                <w:rFonts w:cstheme="minorHAnsi"/>
                <w:sz w:val="24"/>
                <w:szCs w:val="24"/>
              </w:rPr>
              <w:t>medida</w:t>
            </w:r>
            <w:r w:rsidR="00592D44" w:rsidRPr="00FD6167">
              <w:rPr>
                <w:rFonts w:cstheme="minorHAnsi"/>
                <w:sz w:val="24"/>
                <w:szCs w:val="24"/>
              </w:rPr>
              <w:t xml:space="preserve"> de suspensión</w:t>
            </w:r>
            <w:r w:rsidR="00F268D4" w:rsidRPr="00FD6167">
              <w:rPr>
                <w:rFonts w:cstheme="minorHAnsi"/>
                <w:sz w:val="24"/>
                <w:szCs w:val="24"/>
              </w:rPr>
              <w:t xml:space="preserve"> temporal</w:t>
            </w:r>
            <w:r w:rsidRPr="00FD6167">
              <w:rPr>
                <w:rFonts w:cstheme="minorHAnsi"/>
                <w:sz w:val="24"/>
                <w:szCs w:val="24"/>
              </w:rPr>
              <w:t xml:space="preserve">, la misma </w:t>
            </w:r>
            <w:r w:rsidRPr="002A7CAF">
              <w:rPr>
                <w:rFonts w:cstheme="minorHAnsi"/>
                <w:sz w:val="24"/>
                <w:szCs w:val="24"/>
              </w:rPr>
              <w:t xml:space="preserve">podrá ser levantada y deberá ser igualmente informada al investigador principal y al Ministerio de Salud. </w:t>
            </w:r>
          </w:p>
          <w:p w14:paraId="73B9BED5" w14:textId="77777777" w:rsidR="005411A3" w:rsidRPr="005411A3" w:rsidRDefault="005411A3" w:rsidP="00592D44">
            <w:pPr>
              <w:jc w:val="both"/>
              <w:rPr>
                <w:rFonts w:cstheme="minorHAnsi"/>
                <w:sz w:val="24"/>
                <w:szCs w:val="24"/>
              </w:rPr>
            </w:pPr>
          </w:p>
        </w:tc>
      </w:tr>
    </w:tbl>
    <w:p w14:paraId="632E0CFF" w14:textId="77777777" w:rsidR="00471446" w:rsidRPr="00C118A2" w:rsidRDefault="00471446" w:rsidP="00471446">
      <w:pPr>
        <w:spacing w:after="0" w:line="240" w:lineRule="auto"/>
        <w:rPr>
          <w:rFonts w:cstheme="minorHAnsi"/>
          <w:sz w:val="24"/>
          <w:szCs w:val="24"/>
        </w:rPr>
      </w:pPr>
    </w:p>
    <w:p w14:paraId="78B58DD1" w14:textId="77777777" w:rsidR="00C118A2" w:rsidRDefault="00C118A2">
      <w:pPr>
        <w:rPr>
          <w:rFonts w:cstheme="minorHAnsi"/>
          <w:sz w:val="24"/>
          <w:szCs w:val="24"/>
        </w:rPr>
      </w:pPr>
      <w:r>
        <w:rPr>
          <w:rFonts w:cstheme="minorHAnsi"/>
          <w:sz w:val="24"/>
          <w:szCs w:val="24"/>
        </w:rPr>
        <w:br w:type="page"/>
      </w:r>
    </w:p>
    <w:p w14:paraId="680E7C71" w14:textId="77777777" w:rsidR="00A85348" w:rsidRPr="00C118A2" w:rsidRDefault="00A85348" w:rsidP="00471446">
      <w:pPr>
        <w:spacing w:after="0" w:line="240" w:lineRule="auto"/>
        <w:rPr>
          <w:rFonts w:cstheme="minorHAnsi"/>
          <w:sz w:val="24"/>
          <w:szCs w:val="24"/>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28"/>
      </w:tblGrid>
      <w:tr w:rsidR="00471446" w:rsidRPr="00C118A2" w14:paraId="4AAFF416" w14:textId="77777777" w:rsidTr="00C118A2">
        <w:tc>
          <w:tcPr>
            <w:tcW w:w="8978" w:type="dxa"/>
            <w:shd w:val="clear" w:color="auto" w:fill="C2D69B" w:themeFill="accent3" w:themeFillTint="99"/>
          </w:tcPr>
          <w:p w14:paraId="0EC8DC16" w14:textId="77777777" w:rsidR="00471446" w:rsidRPr="00C118A2" w:rsidRDefault="00471446" w:rsidP="00711C2C">
            <w:pPr>
              <w:jc w:val="center"/>
              <w:rPr>
                <w:rFonts w:cstheme="minorHAnsi"/>
                <w:b/>
                <w:sz w:val="24"/>
                <w:szCs w:val="24"/>
              </w:rPr>
            </w:pPr>
            <w:r w:rsidRPr="00C118A2">
              <w:rPr>
                <w:rFonts w:cstheme="minorHAnsi"/>
                <w:b/>
                <w:sz w:val="24"/>
                <w:szCs w:val="24"/>
              </w:rPr>
              <w:t>Documentos de Referencia</w:t>
            </w:r>
          </w:p>
        </w:tc>
      </w:tr>
      <w:tr w:rsidR="00471446" w:rsidRPr="00C118A2" w14:paraId="1443429F" w14:textId="77777777" w:rsidTr="00711C2C">
        <w:tc>
          <w:tcPr>
            <w:tcW w:w="8978" w:type="dxa"/>
          </w:tcPr>
          <w:p w14:paraId="5B33BD64" w14:textId="5D246D67" w:rsidR="00090217" w:rsidRDefault="00501A72" w:rsidP="0091580B">
            <w:pPr>
              <w:pStyle w:val="Prrafodelista"/>
              <w:numPr>
                <w:ilvl w:val="0"/>
                <w:numId w:val="3"/>
              </w:numPr>
              <w:ind w:left="426" w:hanging="284"/>
              <w:rPr>
                <w:rFonts w:cstheme="minorHAnsi"/>
                <w:sz w:val="24"/>
                <w:szCs w:val="24"/>
              </w:rPr>
            </w:pPr>
            <w:r>
              <w:rPr>
                <w:rFonts w:cstheme="minorHAnsi"/>
                <w:sz w:val="24"/>
                <w:szCs w:val="24"/>
              </w:rPr>
              <w:t>Ley 84 de 14 de mayo de 2019</w:t>
            </w:r>
          </w:p>
          <w:p w14:paraId="46F1932D" w14:textId="4887AAB3" w:rsidR="0010785F" w:rsidRDefault="0010785F" w:rsidP="006A2E5D">
            <w:pPr>
              <w:pStyle w:val="Prrafodelista"/>
              <w:ind w:left="426"/>
              <w:rPr>
                <w:rFonts w:cstheme="minorHAnsi"/>
                <w:sz w:val="24"/>
                <w:szCs w:val="24"/>
              </w:rPr>
            </w:pPr>
          </w:p>
          <w:p w14:paraId="3CA80136" w14:textId="77777777" w:rsidR="00C25AF7" w:rsidRPr="00090217" w:rsidRDefault="00C25AF7" w:rsidP="0010785F">
            <w:pPr>
              <w:pStyle w:val="Prrafodelista"/>
              <w:ind w:left="426"/>
              <w:rPr>
                <w:rFonts w:cstheme="minorHAnsi"/>
                <w:sz w:val="24"/>
                <w:szCs w:val="24"/>
              </w:rPr>
            </w:pPr>
          </w:p>
        </w:tc>
      </w:tr>
    </w:tbl>
    <w:p w14:paraId="735F849B" w14:textId="77777777" w:rsidR="00A85348" w:rsidRPr="00C118A2" w:rsidRDefault="00A85348" w:rsidP="00471446">
      <w:pPr>
        <w:spacing w:after="0" w:line="240" w:lineRule="auto"/>
        <w:rPr>
          <w:rFonts w:cstheme="minorHAnsi"/>
          <w:sz w:val="24"/>
          <w:szCs w:val="24"/>
        </w:rPr>
      </w:pPr>
    </w:p>
    <w:p w14:paraId="326F2D03" w14:textId="77777777" w:rsidR="001546EB" w:rsidRPr="00C118A2" w:rsidRDefault="00471446" w:rsidP="00471446">
      <w:pPr>
        <w:spacing w:after="0" w:line="240" w:lineRule="auto"/>
        <w:rPr>
          <w:rFonts w:cstheme="minorHAnsi"/>
          <w:sz w:val="24"/>
          <w:szCs w:val="24"/>
        </w:rPr>
      </w:pPr>
      <w:r w:rsidRPr="00C118A2">
        <w:rPr>
          <w:rFonts w:cstheme="minorHAnsi"/>
          <w:sz w:val="24"/>
          <w:szCs w:val="24"/>
        </w:rPr>
        <w:t xml:space="preserve"> </w:t>
      </w:r>
    </w:p>
    <w:tbl>
      <w:tblPr>
        <w:tblStyle w:val="Tablaconcuadrcula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28"/>
      </w:tblGrid>
      <w:tr w:rsidR="001546EB" w:rsidRPr="00C118A2" w14:paraId="29B662CA" w14:textId="77777777" w:rsidTr="00C118A2">
        <w:tc>
          <w:tcPr>
            <w:tcW w:w="8978" w:type="dxa"/>
            <w:shd w:val="clear" w:color="auto" w:fill="C2D69B" w:themeFill="accent3" w:themeFillTint="99"/>
            <w:vAlign w:val="center"/>
          </w:tcPr>
          <w:p w14:paraId="6E1EABEC" w14:textId="77777777" w:rsidR="001546EB" w:rsidRPr="00C118A2" w:rsidRDefault="001546EB" w:rsidP="00711C2C">
            <w:pPr>
              <w:jc w:val="center"/>
              <w:rPr>
                <w:rFonts w:cstheme="minorHAnsi"/>
                <w:b/>
                <w:sz w:val="24"/>
                <w:szCs w:val="24"/>
              </w:rPr>
            </w:pPr>
            <w:r w:rsidRPr="00C118A2">
              <w:rPr>
                <w:rFonts w:cstheme="minorHAnsi"/>
                <w:b/>
                <w:sz w:val="24"/>
                <w:szCs w:val="24"/>
              </w:rPr>
              <w:t>Historia de cambios</w:t>
            </w:r>
          </w:p>
        </w:tc>
      </w:tr>
    </w:tbl>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0"/>
        <w:gridCol w:w="2202"/>
        <w:gridCol w:w="2200"/>
        <w:gridCol w:w="2226"/>
      </w:tblGrid>
      <w:tr w:rsidR="00CA4235" w:rsidRPr="00C118A2" w14:paraId="34065795" w14:textId="77777777" w:rsidTr="00C118A2">
        <w:tc>
          <w:tcPr>
            <w:tcW w:w="2244" w:type="dxa"/>
            <w:shd w:val="clear" w:color="auto" w:fill="C2D69B" w:themeFill="accent3" w:themeFillTint="99"/>
            <w:vAlign w:val="center"/>
          </w:tcPr>
          <w:p w14:paraId="54F8A225" w14:textId="77777777" w:rsidR="00CA4235" w:rsidRPr="00C118A2" w:rsidRDefault="00CA4235" w:rsidP="00471446">
            <w:pPr>
              <w:jc w:val="center"/>
              <w:rPr>
                <w:rFonts w:cstheme="minorHAnsi"/>
                <w:b/>
                <w:sz w:val="24"/>
                <w:szCs w:val="24"/>
              </w:rPr>
            </w:pPr>
            <w:r w:rsidRPr="00C118A2">
              <w:rPr>
                <w:rFonts w:cstheme="minorHAnsi"/>
                <w:b/>
                <w:sz w:val="24"/>
                <w:szCs w:val="24"/>
              </w:rPr>
              <w:t>Fecha del cambio:</w:t>
            </w:r>
          </w:p>
        </w:tc>
        <w:tc>
          <w:tcPr>
            <w:tcW w:w="2244" w:type="dxa"/>
            <w:shd w:val="clear" w:color="auto" w:fill="C2D69B" w:themeFill="accent3" w:themeFillTint="99"/>
            <w:vAlign w:val="center"/>
          </w:tcPr>
          <w:p w14:paraId="61713936" w14:textId="77777777" w:rsidR="00CA4235" w:rsidRPr="00C118A2" w:rsidRDefault="00CA4235" w:rsidP="00471446">
            <w:pPr>
              <w:jc w:val="center"/>
              <w:rPr>
                <w:rFonts w:cstheme="minorHAnsi"/>
                <w:b/>
                <w:sz w:val="24"/>
                <w:szCs w:val="24"/>
              </w:rPr>
            </w:pPr>
            <w:r w:rsidRPr="00C118A2">
              <w:rPr>
                <w:rFonts w:cstheme="minorHAnsi"/>
                <w:b/>
                <w:sz w:val="24"/>
                <w:szCs w:val="24"/>
              </w:rPr>
              <w:t>Versión revisada / Fecha</w:t>
            </w:r>
          </w:p>
        </w:tc>
        <w:tc>
          <w:tcPr>
            <w:tcW w:w="2245" w:type="dxa"/>
            <w:shd w:val="clear" w:color="auto" w:fill="C2D69B" w:themeFill="accent3" w:themeFillTint="99"/>
            <w:vAlign w:val="center"/>
          </w:tcPr>
          <w:p w14:paraId="4FACA94E" w14:textId="77777777" w:rsidR="00CA4235" w:rsidRPr="00C118A2" w:rsidRDefault="00CA4235" w:rsidP="00471446">
            <w:pPr>
              <w:jc w:val="center"/>
              <w:rPr>
                <w:rFonts w:cstheme="minorHAnsi"/>
                <w:b/>
                <w:sz w:val="24"/>
                <w:szCs w:val="24"/>
              </w:rPr>
            </w:pPr>
            <w:r w:rsidRPr="00C118A2">
              <w:rPr>
                <w:rFonts w:cstheme="minorHAnsi"/>
                <w:b/>
                <w:sz w:val="24"/>
                <w:szCs w:val="24"/>
              </w:rPr>
              <w:t>Cambio</w:t>
            </w:r>
          </w:p>
        </w:tc>
        <w:tc>
          <w:tcPr>
            <w:tcW w:w="2245" w:type="dxa"/>
            <w:shd w:val="clear" w:color="auto" w:fill="C2D69B" w:themeFill="accent3" w:themeFillTint="99"/>
            <w:vAlign w:val="center"/>
          </w:tcPr>
          <w:p w14:paraId="2DE7E343" w14:textId="77777777" w:rsidR="00CA4235" w:rsidRPr="00C118A2" w:rsidRDefault="00CA4235" w:rsidP="00471446">
            <w:pPr>
              <w:jc w:val="center"/>
              <w:rPr>
                <w:rFonts w:cstheme="minorHAnsi"/>
                <w:b/>
                <w:sz w:val="24"/>
                <w:szCs w:val="24"/>
              </w:rPr>
            </w:pPr>
            <w:r w:rsidRPr="00C118A2">
              <w:rPr>
                <w:rFonts w:cstheme="minorHAnsi"/>
                <w:b/>
                <w:sz w:val="24"/>
                <w:szCs w:val="24"/>
              </w:rPr>
              <w:t>Justificación</w:t>
            </w:r>
          </w:p>
        </w:tc>
      </w:tr>
      <w:tr w:rsidR="00CA4235" w:rsidRPr="00C118A2" w14:paraId="349204FA" w14:textId="77777777" w:rsidTr="00471446">
        <w:tc>
          <w:tcPr>
            <w:tcW w:w="2244" w:type="dxa"/>
            <w:vAlign w:val="center"/>
          </w:tcPr>
          <w:p w14:paraId="725ACB96" w14:textId="77777777" w:rsidR="00CA4235" w:rsidRPr="00C118A2" w:rsidRDefault="00CA4235" w:rsidP="00471446">
            <w:pPr>
              <w:jc w:val="center"/>
              <w:rPr>
                <w:rFonts w:cstheme="minorHAnsi"/>
                <w:sz w:val="24"/>
                <w:szCs w:val="24"/>
              </w:rPr>
            </w:pPr>
            <w:r w:rsidRPr="00C118A2">
              <w:rPr>
                <w:rFonts w:cstheme="minorHAnsi"/>
                <w:sz w:val="24"/>
                <w:szCs w:val="24"/>
              </w:rPr>
              <w:t>NA</w:t>
            </w:r>
          </w:p>
        </w:tc>
        <w:tc>
          <w:tcPr>
            <w:tcW w:w="2244" w:type="dxa"/>
            <w:vAlign w:val="center"/>
          </w:tcPr>
          <w:p w14:paraId="20413F3E" w14:textId="77777777" w:rsidR="00CA4235" w:rsidRPr="00C118A2" w:rsidRDefault="00CA4235" w:rsidP="00471446">
            <w:pPr>
              <w:jc w:val="center"/>
              <w:rPr>
                <w:rFonts w:cstheme="minorHAnsi"/>
                <w:sz w:val="24"/>
                <w:szCs w:val="24"/>
              </w:rPr>
            </w:pPr>
          </w:p>
        </w:tc>
        <w:tc>
          <w:tcPr>
            <w:tcW w:w="2245" w:type="dxa"/>
            <w:vAlign w:val="center"/>
          </w:tcPr>
          <w:p w14:paraId="0223E9D8" w14:textId="77777777" w:rsidR="00CA4235" w:rsidRPr="00C118A2" w:rsidRDefault="00CA4235" w:rsidP="00471446">
            <w:pPr>
              <w:jc w:val="center"/>
              <w:rPr>
                <w:rFonts w:cstheme="minorHAnsi"/>
                <w:sz w:val="24"/>
                <w:szCs w:val="24"/>
              </w:rPr>
            </w:pPr>
          </w:p>
        </w:tc>
        <w:tc>
          <w:tcPr>
            <w:tcW w:w="2245" w:type="dxa"/>
            <w:vAlign w:val="center"/>
          </w:tcPr>
          <w:p w14:paraId="36CEBF6A" w14:textId="77777777" w:rsidR="00CA4235" w:rsidRPr="00C118A2" w:rsidRDefault="000F7D11" w:rsidP="00471446">
            <w:pPr>
              <w:jc w:val="center"/>
              <w:rPr>
                <w:rFonts w:cstheme="minorHAnsi"/>
                <w:sz w:val="24"/>
                <w:szCs w:val="24"/>
              </w:rPr>
            </w:pPr>
            <w:r>
              <w:rPr>
                <w:rFonts w:cstheme="minorHAnsi"/>
                <w:sz w:val="24"/>
                <w:szCs w:val="24"/>
              </w:rPr>
              <w:t>Nuevo procedimiento.</w:t>
            </w:r>
          </w:p>
        </w:tc>
      </w:tr>
    </w:tbl>
    <w:p w14:paraId="60D5AF87" w14:textId="77777777" w:rsidR="00CA4235" w:rsidRPr="00C118A2" w:rsidRDefault="00CA4235" w:rsidP="00471446">
      <w:pPr>
        <w:spacing w:after="0" w:line="240" w:lineRule="auto"/>
        <w:rPr>
          <w:rFonts w:cstheme="minorHAnsi"/>
          <w:sz w:val="24"/>
          <w:szCs w:val="24"/>
        </w:rPr>
      </w:pPr>
    </w:p>
    <w:p w14:paraId="00BBBD8A" w14:textId="77777777" w:rsidR="00A85348" w:rsidRPr="00C118A2" w:rsidRDefault="00A85348" w:rsidP="00471446">
      <w:pPr>
        <w:spacing w:after="0" w:line="240" w:lineRule="auto"/>
        <w:rPr>
          <w:rFonts w:cstheme="minorHAnsi"/>
          <w:sz w:val="24"/>
          <w:szCs w:val="24"/>
        </w:rPr>
      </w:pPr>
    </w:p>
    <w:p w14:paraId="3D631566" w14:textId="77777777" w:rsidR="00A85348" w:rsidRPr="00C118A2" w:rsidRDefault="00A85348" w:rsidP="00471446">
      <w:pPr>
        <w:spacing w:after="0" w:line="240" w:lineRule="auto"/>
        <w:rPr>
          <w:rFonts w:cstheme="minorHAnsi"/>
          <w:sz w:val="24"/>
          <w:szCs w:val="24"/>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09"/>
        <w:gridCol w:w="2209"/>
        <w:gridCol w:w="2210"/>
      </w:tblGrid>
      <w:tr w:rsidR="001335DF" w:rsidRPr="00C118A2" w14:paraId="256CA914" w14:textId="77777777" w:rsidTr="00C118A2">
        <w:tc>
          <w:tcPr>
            <w:tcW w:w="8978" w:type="dxa"/>
            <w:gridSpan w:val="3"/>
            <w:shd w:val="clear" w:color="auto" w:fill="C2D69B" w:themeFill="accent3" w:themeFillTint="99"/>
            <w:vAlign w:val="center"/>
          </w:tcPr>
          <w:p w14:paraId="1D38C1B9" w14:textId="77777777" w:rsidR="001335DF" w:rsidRPr="00C118A2" w:rsidRDefault="001335DF" w:rsidP="00711C2C">
            <w:pPr>
              <w:jc w:val="center"/>
              <w:rPr>
                <w:rFonts w:cstheme="minorHAnsi"/>
                <w:b/>
                <w:sz w:val="24"/>
                <w:szCs w:val="24"/>
              </w:rPr>
            </w:pPr>
            <w:r w:rsidRPr="00C118A2">
              <w:rPr>
                <w:rFonts w:cstheme="minorHAnsi"/>
                <w:b/>
                <w:sz w:val="24"/>
                <w:szCs w:val="24"/>
              </w:rPr>
              <w:t>Preparado por</w:t>
            </w:r>
          </w:p>
        </w:tc>
      </w:tr>
      <w:tr w:rsidR="0060493A" w:rsidRPr="00C118A2" w14:paraId="27F69F41" w14:textId="77777777" w:rsidTr="00C118A2">
        <w:tc>
          <w:tcPr>
            <w:tcW w:w="4488" w:type="dxa"/>
            <w:shd w:val="clear" w:color="auto" w:fill="C2D69B" w:themeFill="accent3" w:themeFillTint="99"/>
            <w:vAlign w:val="center"/>
          </w:tcPr>
          <w:p w14:paraId="549F3A0F" w14:textId="77777777" w:rsidR="0060493A" w:rsidRPr="00C118A2" w:rsidRDefault="0060493A" w:rsidP="00711C2C">
            <w:pPr>
              <w:jc w:val="center"/>
              <w:rPr>
                <w:rFonts w:cstheme="minorHAnsi"/>
                <w:b/>
                <w:sz w:val="24"/>
                <w:szCs w:val="24"/>
              </w:rPr>
            </w:pPr>
            <w:r w:rsidRPr="00C118A2">
              <w:rPr>
                <w:rFonts w:cstheme="minorHAnsi"/>
                <w:b/>
                <w:sz w:val="24"/>
                <w:szCs w:val="24"/>
              </w:rPr>
              <w:t>Nombre y Cargo</w:t>
            </w:r>
          </w:p>
        </w:tc>
        <w:tc>
          <w:tcPr>
            <w:tcW w:w="2245" w:type="dxa"/>
            <w:shd w:val="clear" w:color="auto" w:fill="C2D69B" w:themeFill="accent3" w:themeFillTint="99"/>
            <w:vAlign w:val="center"/>
          </w:tcPr>
          <w:p w14:paraId="7B832A76" w14:textId="77777777" w:rsidR="0060493A" w:rsidRPr="00C118A2" w:rsidRDefault="0060493A" w:rsidP="00711C2C">
            <w:pPr>
              <w:jc w:val="center"/>
              <w:rPr>
                <w:rFonts w:cstheme="minorHAnsi"/>
                <w:b/>
                <w:sz w:val="24"/>
                <w:szCs w:val="24"/>
              </w:rPr>
            </w:pPr>
            <w:r w:rsidRPr="00C118A2">
              <w:rPr>
                <w:rFonts w:cstheme="minorHAnsi"/>
                <w:b/>
                <w:sz w:val="24"/>
                <w:szCs w:val="24"/>
              </w:rPr>
              <w:t>Firma</w:t>
            </w:r>
          </w:p>
        </w:tc>
        <w:tc>
          <w:tcPr>
            <w:tcW w:w="2245" w:type="dxa"/>
            <w:shd w:val="clear" w:color="auto" w:fill="C2D69B" w:themeFill="accent3" w:themeFillTint="99"/>
            <w:vAlign w:val="center"/>
          </w:tcPr>
          <w:p w14:paraId="7200E8F9" w14:textId="77777777" w:rsidR="0060493A" w:rsidRPr="00C118A2" w:rsidRDefault="0060493A" w:rsidP="00711C2C">
            <w:pPr>
              <w:jc w:val="center"/>
              <w:rPr>
                <w:rFonts w:cstheme="minorHAnsi"/>
                <w:b/>
                <w:sz w:val="24"/>
                <w:szCs w:val="24"/>
              </w:rPr>
            </w:pPr>
            <w:r w:rsidRPr="00C118A2">
              <w:rPr>
                <w:rFonts w:cstheme="minorHAnsi"/>
                <w:b/>
                <w:sz w:val="24"/>
                <w:szCs w:val="24"/>
              </w:rPr>
              <w:t>Fecha</w:t>
            </w:r>
          </w:p>
        </w:tc>
      </w:tr>
      <w:tr w:rsidR="0060493A" w:rsidRPr="00C118A2" w14:paraId="02469141" w14:textId="77777777" w:rsidTr="0060493A">
        <w:trPr>
          <w:trHeight w:val="469"/>
        </w:trPr>
        <w:tc>
          <w:tcPr>
            <w:tcW w:w="4488" w:type="dxa"/>
            <w:vAlign w:val="center"/>
          </w:tcPr>
          <w:p w14:paraId="3B4851C3" w14:textId="77777777" w:rsidR="00371690" w:rsidRPr="00C118A2" w:rsidRDefault="00371690" w:rsidP="00711C2C">
            <w:pPr>
              <w:jc w:val="center"/>
              <w:rPr>
                <w:rFonts w:cstheme="minorHAnsi"/>
                <w:sz w:val="24"/>
                <w:szCs w:val="24"/>
              </w:rPr>
            </w:pPr>
          </w:p>
          <w:p w14:paraId="607574D0" w14:textId="77777777" w:rsidR="0060493A" w:rsidRPr="00C118A2" w:rsidRDefault="0060493A" w:rsidP="00711C2C">
            <w:pPr>
              <w:jc w:val="center"/>
              <w:rPr>
                <w:rFonts w:cstheme="minorHAnsi"/>
                <w:sz w:val="24"/>
                <w:szCs w:val="24"/>
              </w:rPr>
            </w:pPr>
            <w:r w:rsidRPr="00C118A2">
              <w:rPr>
                <w:rFonts w:cstheme="minorHAnsi"/>
                <w:sz w:val="24"/>
                <w:szCs w:val="24"/>
              </w:rPr>
              <w:t xml:space="preserve"> </w:t>
            </w:r>
          </w:p>
          <w:p w14:paraId="150F3AA3" w14:textId="7C5F9B34" w:rsidR="00A85348" w:rsidRPr="00C118A2" w:rsidRDefault="00501A72" w:rsidP="00711C2C">
            <w:pPr>
              <w:jc w:val="center"/>
              <w:rPr>
                <w:rFonts w:cstheme="minorHAnsi"/>
                <w:sz w:val="24"/>
                <w:szCs w:val="24"/>
              </w:rPr>
            </w:pPr>
            <w:r>
              <w:rPr>
                <w:rFonts w:cstheme="minorHAnsi"/>
                <w:sz w:val="24"/>
                <w:szCs w:val="24"/>
              </w:rPr>
              <w:t>Magalys Quintana</w:t>
            </w:r>
          </w:p>
        </w:tc>
        <w:tc>
          <w:tcPr>
            <w:tcW w:w="2245" w:type="dxa"/>
            <w:vAlign w:val="center"/>
          </w:tcPr>
          <w:p w14:paraId="04494859" w14:textId="77777777" w:rsidR="0060493A" w:rsidRPr="00C118A2" w:rsidRDefault="0060493A" w:rsidP="00711C2C">
            <w:pPr>
              <w:jc w:val="center"/>
              <w:rPr>
                <w:rFonts w:cstheme="minorHAnsi"/>
                <w:sz w:val="24"/>
                <w:szCs w:val="24"/>
              </w:rPr>
            </w:pPr>
          </w:p>
        </w:tc>
        <w:tc>
          <w:tcPr>
            <w:tcW w:w="2245" w:type="dxa"/>
            <w:vAlign w:val="center"/>
          </w:tcPr>
          <w:p w14:paraId="0A693C9A" w14:textId="436F61F0" w:rsidR="0060493A" w:rsidRPr="00C118A2" w:rsidRDefault="0060493A" w:rsidP="00711C2C">
            <w:pPr>
              <w:jc w:val="center"/>
              <w:rPr>
                <w:rFonts w:cstheme="minorHAnsi"/>
                <w:sz w:val="24"/>
                <w:szCs w:val="24"/>
              </w:rPr>
            </w:pPr>
          </w:p>
        </w:tc>
      </w:tr>
      <w:tr w:rsidR="0060493A" w:rsidRPr="00C118A2" w14:paraId="55AF09D8" w14:textId="77777777" w:rsidTr="00C118A2">
        <w:tc>
          <w:tcPr>
            <w:tcW w:w="8978" w:type="dxa"/>
            <w:gridSpan w:val="3"/>
            <w:shd w:val="clear" w:color="auto" w:fill="C2D69B" w:themeFill="accent3" w:themeFillTint="99"/>
            <w:vAlign w:val="center"/>
          </w:tcPr>
          <w:p w14:paraId="683F0BA8" w14:textId="77777777" w:rsidR="0060493A" w:rsidRPr="00C118A2" w:rsidRDefault="0060493A" w:rsidP="00711C2C">
            <w:pPr>
              <w:jc w:val="center"/>
              <w:rPr>
                <w:rFonts w:cstheme="minorHAnsi"/>
                <w:b/>
                <w:sz w:val="24"/>
                <w:szCs w:val="24"/>
              </w:rPr>
            </w:pPr>
            <w:r w:rsidRPr="00C118A2">
              <w:rPr>
                <w:rFonts w:cstheme="minorHAnsi"/>
                <w:b/>
                <w:sz w:val="24"/>
                <w:szCs w:val="24"/>
              </w:rPr>
              <w:t xml:space="preserve">Revisado </w:t>
            </w:r>
            <w:r w:rsidR="00A85348" w:rsidRPr="00C118A2">
              <w:rPr>
                <w:rFonts w:cstheme="minorHAnsi"/>
                <w:b/>
                <w:sz w:val="24"/>
                <w:szCs w:val="24"/>
              </w:rPr>
              <w:t xml:space="preserve">y Aprobado </w:t>
            </w:r>
            <w:r w:rsidRPr="00C118A2">
              <w:rPr>
                <w:rFonts w:cstheme="minorHAnsi"/>
                <w:b/>
                <w:sz w:val="24"/>
                <w:szCs w:val="24"/>
              </w:rPr>
              <w:t>por</w:t>
            </w:r>
          </w:p>
        </w:tc>
      </w:tr>
      <w:tr w:rsidR="0060493A" w:rsidRPr="00C118A2" w14:paraId="66C5978F" w14:textId="77777777" w:rsidTr="00C118A2">
        <w:tc>
          <w:tcPr>
            <w:tcW w:w="4488" w:type="dxa"/>
            <w:shd w:val="clear" w:color="auto" w:fill="C2D69B" w:themeFill="accent3" w:themeFillTint="99"/>
            <w:vAlign w:val="center"/>
          </w:tcPr>
          <w:p w14:paraId="37197DD5" w14:textId="77777777" w:rsidR="0060493A" w:rsidRPr="00C118A2" w:rsidRDefault="0060493A" w:rsidP="00711C2C">
            <w:pPr>
              <w:jc w:val="center"/>
              <w:rPr>
                <w:rFonts w:cstheme="minorHAnsi"/>
                <w:b/>
                <w:sz w:val="24"/>
                <w:szCs w:val="24"/>
              </w:rPr>
            </w:pPr>
            <w:r w:rsidRPr="00C118A2">
              <w:rPr>
                <w:rFonts w:cstheme="minorHAnsi"/>
                <w:b/>
                <w:sz w:val="24"/>
                <w:szCs w:val="24"/>
              </w:rPr>
              <w:t>Nombre y Cargo</w:t>
            </w:r>
          </w:p>
        </w:tc>
        <w:tc>
          <w:tcPr>
            <w:tcW w:w="2245" w:type="dxa"/>
            <w:shd w:val="clear" w:color="auto" w:fill="C2D69B" w:themeFill="accent3" w:themeFillTint="99"/>
            <w:vAlign w:val="center"/>
          </w:tcPr>
          <w:p w14:paraId="67FD3077" w14:textId="77777777" w:rsidR="0060493A" w:rsidRPr="00C118A2" w:rsidRDefault="0060493A" w:rsidP="00711C2C">
            <w:pPr>
              <w:jc w:val="center"/>
              <w:rPr>
                <w:rFonts w:cstheme="minorHAnsi"/>
                <w:b/>
                <w:sz w:val="24"/>
                <w:szCs w:val="24"/>
              </w:rPr>
            </w:pPr>
            <w:r w:rsidRPr="00C118A2">
              <w:rPr>
                <w:rFonts w:cstheme="minorHAnsi"/>
                <w:b/>
                <w:sz w:val="24"/>
                <w:szCs w:val="24"/>
              </w:rPr>
              <w:t>Firma</w:t>
            </w:r>
          </w:p>
        </w:tc>
        <w:tc>
          <w:tcPr>
            <w:tcW w:w="2245" w:type="dxa"/>
            <w:shd w:val="clear" w:color="auto" w:fill="C2D69B" w:themeFill="accent3" w:themeFillTint="99"/>
            <w:vAlign w:val="center"/>
          </w:tcPr>
          <w:p w14:paraId="77392822" w14:textId="77777777" w:rsidR="0060493A" w:rsidRPr="00C118A2" w:rsidRDefault="0060493A" w:rsidP="00711C2C">
            <w:pPr>
              <w:jc w:val="center"/>
              <w:rPr>
                <w:rFonts w:cstheme="minorHAnsi"/>
                <w:b/>
                <w:sz w:val="24"/>
                <w:szCs w:val="24"/>
              </w:rPr>
            </w:pPr>
            <w:r w:rsidRPr="00C118A2">
              <w:rPr>
                <w:rFonts w:cstheme="minorHAnsi"/>
                <w:b/>
                <w:sz w:val="24"/>
                <w:szCs w:val="24"/>
              </w:rPr>
              <w:t>Fecha</w:t>
            </w:r>
          </w:p>
        </w:tc>
      </w:tr>
      <w:tr w:rsidR="0060493A" w:rsidRPr="00C118A2" w14:paraId="7005467B" w14:textId="77777777" w:rsidTr="00711C2C">
        <w:trPr>
          <w:trHeight w:val="469"/>
        </w:trPr>
        <w:tc>
          <w:tcPr>
            <w:tcW w:w="4488" w:type="dxa"/>
            <w:vAlign w:val="center"/>
          </w:tcPr>
          <w:p w14:paraId="455448DA" w14:textId="77777777" w:rsidR="00371690" w:rsidRPr="00C118A2" w:rsidRDefault="00371690" w:rsidP="00A85348">
            <w:pPr>
              <w:jc w:val="center"/>
              <w:rPr>
                <w:rFonts w:cstheme="minorHAnsi"/>
                <w:sz w:val="24"/>
                <w:szCs w:val="24"/>
              </w:rPr>
            </w:pPr>
          </w:p>
          <w:p w14:paraId="4D7BAF5B" w14:textId="77777777" w:rsidR="00371690" w:rsidRPr="00C118A2" w:rsidRDefault="00371690" w:rsidP="00A85348">
            <w:pPr>
              <w:jc w:val="center"/>
              <w:rPr>
                <w:rFonts w:cstheme="minorHAnsi"/>
                <w:sz w:val="24"/>
                <w:szCs w:val="24"/>
              </w:rPr>
            </w:pPr>
          </w:p>
          <w:p w14:paraId="1D031FEF" w14:textId="77777777" w:rsidR="0060493A" w:rsidRPr="00C118A2" w:rsidRDefault="00390BAB" w:rsidP="00A85348">
            <w:pPr>
              <w:jc w:val="center"/>
              <w:rPr>
                <w:rFonts w:cstheme="minorHAnsi"/>
                <w:sz w:val="24"/>
                <w:szCs w:val="24"/>
              </w:rPr>
            </w:pPr>
            <w:r w:rsidRPr="00C118A2">
              <w:rPr>
                <w:rFonts w:cstheme="minorHAnsi"/>
                <w:sz w:val="24"/>
                <w:szCs w:val="24"/>
              </w:rPr>
              <w:t>Presidente del CNB</w:t>
            </w:r>
            <w:r w:rsidR="003C7431" w:rsidRPr="00C118A2">
              <w:rPr>
                <w:rFonts w:cstheme="minorHAnsi"/>
                <w:sz w:val="24"/>
                <w:szCs w:val="24"/>
              </w:rPr>
              <w:t>I</w:t>
            </w:r>
            <w:r w:rsidR="0060493A" w:rsidRPr="00C118A2">
              <w:rPr>
                <w:rFonts w:cstheme="minorHAnsi"/>
                <w:sz w:val="24"/>
                <w:szCs w:val="24"/>
              </w:rPr>
              <w:t xml:space="preserve"> </w:t>
            </w:r>
          </w:p>
        </w:tc>
        <w:tc>
          <w:tcPr>
            <w:tcW w:w="2245" w:type="dxa"/>
            <w:vAlign w:val="center"/>
          </w:tcPr>
          <w:p w14:paraId="1BECE08E" w14:textId="77777777" w:rsidR="0060493A" w:rsidRPr="00C118A2" w:rsidRDefault="0060493A" w:rsidP="00711C2C">
            <w:pPr>
              <w:jc w:val="center"/>
              <w:rPr>
                <w:rFonts w:cstheme="minorHAnsi"/>
                <w:sz w:val="24"/>
                <w:szCs w:val="24"/>
              </w:rPr>
            </w:pPr>
          </w:p>
        </w:tc>
        <w:tc>
          <w:tcPr>
            <w:tcW w:w="2245" w:type="dxa"/>
            <w:vAlign w:val="center"/>
          </w:tcPr>
          <w:p w14:paraId="696F5B0F" w14:textId="77777777" w:rsidR="0060493A" w:rsidRPr="00C118A2" w:rsidRDefault="0060493A" w:rsidP="00711C2C">
            <w:pPr>
              <w:jc w:val="center"/>
              <w:rPr>
                <w:rFonts w:cstheme="minorHAnsi"/>
                <w:sz w:val="24"/>
                <w:szCs w:val="24"/>
              </w:rPr>
            </w:pPr>
          </w:p>
        </w:tc>
      </w:tr>
    </w:tbl>
    <w:p w14:paraId="156DDC70" w14:textId="77777777" w:rsidR="00CA4235" w:rsidRPr="00C118A2" w:rsidRDefault="00CA4235" w:rsidP="00D263A3">
      <w:pPr>
        <w:spacing w:after="0" w:line="240" w:lineRule="auto"/>
        <w:rPr>
          <w:rFonts w:cstheme="minorHAnsi"/>
          <w:sz w:val="24"/>
          <w:szCs w:val="24"/>
        </w:rPr>
      </w:pPr>
    </w:p>
    <w:sectPr w:rsidR="00CA4235" w:rsidRPr="00C118A2" w:rsidSect="00781A7C">
      <w:headerReference w:type="default" r:id="rId7"/>
      <w:footerReference w:type="default" r:id="rId8"/>
      <w:pgSz w:w="12240" w:h="15840"/>
      <w:pgMar w:top="190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767E" w14:textId="77777777" w:rsidR="00B40ADE" w:rsidRDefault="00B40ADE" w:rsidP="00CA4235">
      <w:pPr>
        <w:spacing w:after="0" w:line="240" w:lineRule="auto"/>
      </w:pPr>
      <w:r>
        <w:separator/>
      </w:r>
    </w:p>
  </w:endnote>
  <w:endnote w:type="continuationSeparator" w:id="0">
    <w:p w14:paraId="59A495A7" w14:textId="77777777" w:rsidR="00B40ADE" w:rsidRDefault="00B40ADE" w:rsidP="00CA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9001" w14:textId="77777777" w:rsidR="00CA4235" w:rsidRPr="00390BAB" w:rsidRDefault="00390BAB" w:rsidP="0060493A">
    <w:pPr>
      <w:pStyle w:val="Piedepgina"/>
      <w:jc w:val="center"/>
      <w:rPr>
        <w:rFonts w:cs="Arial"/>
        <w:i/>
        <w:color w:val="000000" w:themeColor="text1"/>
        <w:sz w:val="16"/>
        <w:szCs w:val="16"/>
      </w:rPr>
    </w:pPr>
    <w:r w:rsidRPr="00390BAB">
      <w:rPr>
        <w:rFonts w:cs="Arial"/>
        <w:i/>
        <w:color w:val="000000" w:themeColor="text1"/>
        <w:sz w:val="16"/>
        <w:szCs w:val="16"/>
      </w:rPr>
      <w:t>Comité Nacional de Bioética</w:t>
    </w:r>
    <w:r w:rsidR="00626EFE" w:rsidRPr="00390BAB">
      <w:rPr>
        <w:rFonts w:cs="Arial"/>
        <w:i/>
        <w:color w:val="000000" w:themeColor="text1"/>
        <w:sz w:val="16"/>
        <w:szCs w:val="16"/>
      </w:rPr>
      <w:t xml:space="preserve"> de la</w:t>
    </w:r>
    <w:r w:rsidR="0060493A" w:rsidRPr="00390BAB">
      <w:rPr>
        <w:rFonts w:cs="Arial"/>
        <w:i/>
        <w:color w:val="000000" w:themeColor="text1"/>
        <w:sz w:val="16"/>
        <w:szCs w:val="16"/>
      </w:rPr>
      <w:t xml:space="preserve"> Investigación de Panamá</w:t>
    </w:r>
  </w:p>
  <w:p w14:paraId="61EF3B1C" w14:textId="77777777" w:rsidR="0060493A" w:rsidRPr="00390BAB" w:rsidRDefault="0060493A" w:rsidP="0060493A">
    <w:pPr>
      <w:pStyle w:val="Piedepgina"/>
      <w:jc w:val="center"/>
      <w:rPr>
        <w:rFonts w:cs="Arial"/>
        <w:b/>
        <w:i/>
        <w:color w:val="000000" w:themeColor="text1"/>
        <w:sz w:val="16"/>
        <w:szCs w:val="16"/>
      </w:rPr>
    </w:pPr>
    <w:r w:rsidRPr="00390BAB">
      <w:rPr>
        <w:rFonts w:cs="Arial"/>
        <w:i/>
        <w:color w:val="000000" w:themeColor="text1"/>
        <w:sz w:val="16"/>
        <w:szCs w:val="16"/>
        <w:lang w:val="es-ES"/>
      </w:rPr>
      <w:t xml:space="preserve">Página </w:t>
    </w:r>
    <w:r w:rsidR="004032BA" w:rsidRPr="00390BAB">
      <w:rPr>
        <w:rFonts w:cs="Arial"/>
        <w:b/>
        <w:i/>
        <w:color w:val="000000" w:themeColor="text1"/>
        <w:sz w:val="16"/>
        <w:szCs w:val="16"/>
      </w:rPr>
      <w:fldChar w:fldCharType="begin"/>
    </w:r>
    <w:r w:rsidRPr="00390BAB">
      <w:rPr>
        <w:rFonts w:cs="Arial"/>
        <w:b/>
        <w:i/>
        <w:color w:val="000000" w:themeColor="text1"/>
        <w:sz w:val="16"/>
        <w:szCs w:val="16"/>
      </w:rPr>
      <w:instrText>PAGE  \* Arabic  \* MERGEFORMAT</w:instrText>
    </w:r>
    <w:r w:rsidR="004032BA" w:rsidRPr="00390BAB">
      <w:rPr>
        <w:rFonts w:cs="Arial"/>
        <w:b/>
        <w:i/>
        <w:color w:val="000000" w:themeColor="text1"/>
        <w:sz w:val="16"/>
        <w:szCs w:val="16"/>
      </w:rPr>
      <w:fldChar w:fldCharType="separate"/>
    </w:r>
    <w:r w:rsidR="00E26BA3" w:rsidRPr="00E26BA3">
      <w:rPr>
        <w:rFonts w:cs="Arial"/>
        <w:b/>
        <w:i/>
        <w:noProof/>
        <w:color w:val="000000" w:themeColor="text1"/>
        <w:sz w:val="16"/>
        <w:szCs w:val="16"/>
        <w:lang w:val="es-ES"/>
      </w:rPr>
      <w:t>4</w:t>
    </w:r>
    <w:r w:rsidR="004032BA" w:rsidRPr="00390BAB">
      <w:rPr>
        <w:rFonts w:cs="Arial"/>
        <w:b/>
        <w:i/>
        <w:color w:val="000000" w:themeColor="text1"/>
        <w:sz w:val="16"/>
        <w:szCs w:val="16"/>
      </w:rPr>
      <w:fldChar w:fldCharType="end"/>
    </w:r>
    <w:r w:rsidRPr="00390BAB">
      <w:rPr>
        <w:rFonts w:cs="Arial"/>
        <w:i/>
        <w:color w:val="000000" w:themeColor="text1"/>
        <w:sz w:val="16"/>
        <w:szCs w:val="16"/>
        <w:lang w:val="es-ES"/>
      </w:rPr>
      <w:t xml:space="preserve"> de </w:t>
    </w:r>
    <w:r w:rsidR="00D9759F">
      <w:rPr>
        <w:rFonts w:cs="Arial"/>
        <w:b/>
        <w:i/>
        <w:noProof/>
        <w:color w:val="000000" w:themeColor="text1"/>
        <w:sz w:val="16"/>
        <w:szCs w:val="16"/>
        <w:lang w:val="es-ES"/>
      </w:rPr>
      <w:fldChar w:fldCharType="begin"/>
    </w:r>
    <w:r w:rsidR="00D9759F">
      <w:rPr>
        <w:rFonts w:cs="Arial"/>
        <w:b/>
        <w:i/>
        <w:noProof/>
        <w:color w:val="000000" w:themeColor="text1"/>
        <w:sz w:val="16"/>
        <w:szCs w:val="16"/>
        <w:lang w:val="es-ES"/>
      </w:rPr>
      <w:instrText>NUMPAGES  \* Arabic  \* MERGEFORMAT</w:instrText>
    </w:r>
    <w:r w:rsidR="00D9759F">
      <w:rPr>
        <w:rFonts w:cs="Arial"/>
        <w:b/>
        <w:i/>
        <w:noProof/>
        <w:color w:val="000000" w:themeColor="text1"/>
        <w:sz w:val="16"/>
        <w:szCs w:val="16"/>
        <w:lang w:val="es-ES"/>
      </w:rPr>
      <w:fldChar w:fldCharType="separate"/>
    </w:r>
    <w:r w:rsidR="00E26BA3" w:rsidRPr="00E26BA3">
      <w:rPr>
        <w:rFonts w:cs="Arial"/>
        <w:b/>
        <w:i/>
        <w:noProof/>
        <w:color w:val="000000" w:themeColor="text1"/>
        <w:sz w:val="16"/>
        <w:szCs w:val="16"/>
        <w:lang w:val="es-ES"/>
      </w:rPr>
      <w:t>4</w:t>
    </w:r>
    <w:r w:rsidR="00D9759F">
      <w:rPr>
        <w:rFonts w:cs="Arial"/>
        <w:b/>
        <w:i/>
        <w:noProof/>
        <w:color w:val="000000" w:themeColor="text1"/>
        <w:sz w:val="16"/>
        <w:szCs w:val="16"/>
        <w:lang w:val="es-ES"/>
      </w:rPr>
      <w:fldChar w:fldCharType="end"/>
    </w:r>
  </w:p>
  <w:p w14:paraId="31BB80F8" w14:textId="77777777" w:rsidR="00781A7C" w:rsidRPr="0060493A" w:rsidRDefault="00781A7C" w:rsidP="00781A7C">
    <w:pPr>
      <w:pStyle w:val="Piedepgina"/>
      <w:rPr>
        <w:rFonts w:ascii="Arial" w:hAnsi="Arial" w:cs="Arial"/>
        <w:i/>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C031" w14:textId="77777777" w:rsidR="00B40ADE" w:rsidRDefault="00B40ADE" w:rsidP="00CA4235">
      <w:pPr>
        <w:spacing w:after="0" w:line="240" w:lineRule="auto"/>
      </w:pPr>
      <w:r>
        <w:separator/>
      </w:r>
    </w:p>
  </w:footnote>
  <w:footnote w:type="continuationSeparator" w:id="0">
    <w:p w14:paraId="428C822C" w14:textId="77777777" w:rsidR="00B40ADE" w:rsidRDefault="00B40ADE" w:rsidP="00CA4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4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25"/>
      <w:gridCol w:w="7723"/>
    </w:tblGrid>
    <w:tr w:rsidR="00390BAB" w:rsidRPr="00C118A2" w14:paraId="551082B1" w14:textId="77777777" w:rsidTr="00390BAB">
      <w:trPr>
        <w:trHeight w:val="1130"/>
        <w:jc w:val="center"/>
      </w:trPr>
      <w:tc>
        <w:tcPr>
          <w:tcW w:w="2625" w:type="dxa"/>
          <w:tcBorders>
            <w:top w:val="dotted" w:sz="4" w:space="0" w:color="auto"/>
            <w:left w:val="dotted" w:sz="4" w:space="0" w:color="auto"/>
            <w:bottom w:val="dotted" w:sz="4" w:space="0" w:color="auto"/>
            <w:right w:val="dotted" w:sz="4" w:space="0" w:color="auto"/>
          </w:tcBorders>
          <w:vAlign w:val="center"/>
          <w:hideMark/>
        </w:tcPr>
        <w:p w14:paraId="0ACDCAC3" w14:textId="77777777" w:rsidR="00390BAB" w:rsidRPr="00C118A2" w:rsidRDefault="00390BAB" w:rsidP="005A5EF4">
          <w:pPr>
            <w:pStyle w:val="Piedepgina"/>
            <w:jc w:val="center"/>
            <w:rPr>
              <w:rFonts w:cstheme="minorHAnsi"/>
              <w:b/>
              <w:noProof/>
              <w:sz w:val="24"/>
              <w:szCs w:val="24"/>
              <w:lang w:eastAsia="es-MX"/>
            </w:rPr>
          </w:pPr>
          <w:r w:rsidRPr="00C118A2">
            <w:rPr>
              <w:rFonts w:cstheme="minorHAnsi"/>
              <w:b/>
              <w:noProof/>
              <w:sz w:val="24"/>
              <w:szCs w:val="24"/>
              <w:lang w:val="es-PA" w:eastAsia="es-PA"/>
            </w:rPr>
            <w:drawing>
              <wp:anchor distT="0" distB="0" distL="114300" distR="114300" simplePos="0" relativeHeight="251675136" behindDoc="0" locked="0" layoutInCell="1" allowOverlap="1" wp14:anchorId="4BC017BA" wp14:editId="235B068D">
                <wp:simplePos x="0" y="0"/>
                <wp:positionH relativeFrom="column">
                  <wp:posOffset>214630</wp:posOffset>
                </wp:positionH>
                <wp:positionV relativeFrom="paragraph">
                  <wp:posOffset>12065</wp:posOffset>
                </wp:positionV>
                <wp:extent cx="1146810" cy="640080"/>
                <wp:effectExtent l="19050" t="0" r="0" b="0"/>
                <wp:wrapNone/>
                <wp:docPr id="2" name="Imagen 4" descr="Z:\CNBI-Logo_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CNBI-Logo_6 (1).jpg"/>
                        <pic:cNvPicPr>
                          <a:picLocks noChangeAspect="1" noChangeArrowheads="1"/>
                        </pic:cNvPicPr>
                      </pic:nvPicPr>
                      <pic:blipFill>
                        <a:blip r:embed="rId1" cstate="print"/>
                        <a:srcRect/>
                        <a:stretch>
                          <a:fillRect/>
                        </a:stretch>
                      </pic:blipFill>
                      <pic:spPr bwMode="auto">
                        <a:xfrm>
                          <a:off x="0" y="0"/>
                          <a:ext cx="1146810" cy="640080"/>
                        </a:xfrm>
                        <a:prstGeom prst="rect">
                          <a:avLst/>
                        </a:prstGeom>
                        <a:noFill/>
                        <a:ln w="9525">
                          <a:noFill/>
                          <a:miter lim="800000"/>
                          <a:headEnd/>
                          <a:tailEnd/>
                        </a:ln>
                      </pic:spPr>
                    </pic:pic>
                  </a:graphicData>
                </a:graphic>
              </wp:anchor>
            </w:drawing>
          </w:r>
        </w:p>
      </w:tc>
      <w:tc>
        <w:tcPr>
          <w:tcW w:w="7723" w:type="dxa"/>
          <w:tcBorders>
            <w:top w:val="dotted" w:sz="4" w:space="0" w:color="auto"/>
            <w:left w:val="dotted" w:sz="4" w:space="0" w:color="auto"/>
            <w:bottom w:val="dotted" w:sz="4" w:space="0" w:color="auto"/>
            <w:right w:val="dotted" w:sz="4" w:space="0" w:color="auto"/>
          </w:tcBorders>
          <w:vAlign w:val="center"/>
        </w:tcPr>
        <w:p w14:paraId="13E85FE4" w14:textId="77777777" w:rsidR="00390BAB" w:rsidRPr="00C118A2" w:rsidRDefault="00390BAB" w:rsidP="005A5EF4">
          <w:pPr>
            <w:pStyle w:val="Piedepgina"/>
            <w:jc w:val="center"/>
            <w:rPr>
              <w:rFonts w:cstheme="minorHAnsi"/>
              <w:b/>
              <w:sz w:val="24"/>
              <w:szCs w:val="24"/>
            </w:rPr>
          </w:pPr>
          <w:r w:rsidRPr="00C118A2">
            <w:rPr>
              <w:rFonts w:cstheme="minorHAnsi"/>
              <w:b/>
              <w:sz w:val="24"/>
              <w:szCs w:val="24"/>
            </w:rPr>
            <w:t xml:space="preserve"> </w:t>
          </w:r>
        </w:p>
        <w:p w14:paraId="54B35CC5" w14:textId="77777777" w:rsidR="00390BAB" w:rsidRPr="00C118A2" w:rsidRDefault="00390BAB" w:rsidP="005A5EF4">
          <w:pPr>
            <w:pStyle w:val="Piedepgina"/>
            <w:jc w:val="center"/>
            <w:rPr>
              <w:rFonts w:cstheme="minorHAnsi"/>
              <w:b/>
              <w:noProof/>
              <w:sz w:val="24"/>
              <w:szCs w:val="24"/>
              <w:lang w:eastAsia="es-MX"/>
            </w:rPr>
          </w:pPr>
          <w:r w:rsidRPr="00C118A2">
            <w:rPr>
              <w:rFonts w:cstheme="minorHAnsi"/>
              <w:b/>
              <w:sz w:val="24"/>
              <w:szCs w:val="24"/>
            </w:rPr>
            <w:t>Comité Nacional de Bioética de la Investigación de Panamá</w:t>
          </w:r>
          <w:r w:rsidRPr="00C118A2">
            <w:rPr>
              <w:rFonts w:cstheme="minorHAnsi"/>
              <w:b/>
              <w:noProof/>
              <w:sz w:val="24"/>
              <w:szCs w:val="24"/>
              <w:lang w:eastAsia="es-MX"/>
            </w:rPr>
            <w:t xml:space="preserve"> </w:t>
          </w:r>
        </w:p>
        <w:p w14:paraId="7FFAD6D4" w14:textId="77777777" w:rsidR="00390BAB" w:rsidRPr="00C118A2" w:rsidRDefault="00390BAB" w:rsidP="005A5EF4">
          <w:pPr>
            <w:pStyle w:val="Piedepgina"/>
            <w:ind w:left="884" w:hanging="884"/>
            <w:jc w:val="center"/>
            <w:rPr>
              <w:rFonts w:cstheme="minorHAnsi"/>
              <w:b/>
              <w:sz w:val="24"/>
              <w:szCs w:val="24"/>
            </w:rPr>
          </w:pPr>
          <w:r w:rsidRPr="00C118A2">
            <w:rPr>
              <w:rFonts w:cstheme="minorHAnsi"/>
              <w:b/>
              <w:sz w:val="24"/>
              <w:szCs w:val="24"/>
            </w:rPr>
            <w:t>Procedimiento Operativo Estándar</w:t>
          </w:r>
        </w:p>
      </w:tc>
    </w:tr>
    <w:tr w:rsidR="00390BAB" w:rsidRPr="000A5B75" w14:paraId="16155A6D" w14:textId="77777777" w:rsidTr="00C118A2">
      <w:trPr>
        <w:trHeight w:val="564"/>
        <w:jc w:val="center"/>
      </w:trPr>
      <w:tc>
        <w:tcPr>
          <w:tcW w:w="2625"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hideMark/>
        </w:tcPr>
        <w:p w14:paraId="7572ADEB" w14:textId="2201F4BF" w:rsidR="00390BAB" w:rsidRPr="000A5B75" w:rsidRDefault="00390BAB" w:rsidP="005A5EF4">
          <w:pPr>
            <w:pStyle w:val="Piedepgina"/>
            <w:jc w:val="center"/>
            <w:rPr>
              <w:rFonts w:cstheme="minorHAnsi"/>
              <w:b/>
              <w:sz w:val="24"/>
              <w:szCs w:val="24"/>
            </w:rPr>
          </w:pPr>
          <w:r w:rsidRPr="000A5B75">
            <w:rPr>
              <w:rFonts w:cstheme="minorHAnsi"/>
              <w:b/>
              <w:sz w:val="24"/>
              <w:szCs w:val="24"/>
            </w:rPr>
            <w:t>Código: PO-0</w:t>
          </w:r>
          <w:r w:rsidR="00516D55">
            <w:rPr>
              <w:rFonts w:cstheme="minorHAnsi"/>
              <w:b/>
              <w:sz w:val="24"/>
              <w:szCs w:val="24"/>
            </w:rPr>
            <w:t>2</w:t>
          </w:r>
          <w:r w:rsidR="00DB0C43">
            <w:rPr>
              <w:rFonts w:cstheme="minorHAnsi"/>
              <w:b/>
              <w:sz w:val="24"/>
              <w:szCs w:val="24"/>
            </w:rPr>
            <w:t>9</w:t>
          </w:r>
        </w:p>
      </w:tc>
      <w:tc>
        <w:tcPr>
          <w:tcW w:w="7723" w:type="dxa"/>
          <w:tcBorders>
            <w:top w:val="dotted" w:sz="4" w:space="0" w:color="auto"/>
            <w:left w:val="dotted" w:sz="4" w:space="0" w:color="auto"/>
            <w:bottom w:val="dotted" w:sz="4" w:space="0" w:color="auto"/>
            <w:right w:val="dotted" w:sz="4" w:space="0" w:color="auto"/>
          </w:tcBorders>
          <w:vAlign w:val="center"/>
          <w:hideMark/>
        </w:tcPr>
        <w:p w14:paraId="4B87069C" w14:textId="550239FC" w:rsidR="00390BAB" w:rsidRPr="000A5B75" w:rsidRDefault="00390BAB" w:rsidP="004C7D6F">
          <w:pPr>
            <w:pStyle w:val="Piedepgina"/>
            <w:jc w:val="both"/>
            <w:rPr>
              <w:rFonts w:cstheme="minorHAnsi"/>
              <w:b/>
              <w:sz w:val="24"/>
              <w:szCs w:val="24"/>
            </w:rPr>
          </w:pPr>
          <w:r w:rsidRPr="000A5B75">
            <w:rPr>
              <w:rFonts w:cstheme="minorHAnsi"/>
              <w:b/>
              <w:sz w:val="24"/>
              <w:szCs w:val="24"/>
            </w:rPr>
            <w:t xml:space="preserve">Título: </w:t>
          </w:r>
          <w:r w:rsidR="00AA0986">
            <w:rPr>
              <w:rFonts w:cstheme="minorHAnsi"/>
              <w:b/>
              <w:sz w:val="24"/>
              <w:szCs w:val="24"/>
            </w:rPr>
            <w:t xml:space="preserve">Medidas de Control </w:t>
          </w:r>
          <w:r w:rsidRPr="000A5B75">
            <w:rPr>
              <w:rFonts w:cstheme="minorHAnsi"/>
              <w:b/>
              <w:sz w:val="24"/>
              <w:szCs w:val="24"/>
            </w:rPr>
            <w:t xml:space="preserve"> </w:t>
          </w:r>
        </w:p>
      </w:tc>
    </w:tr>
    <w:tr w:rsidR="00C118A2" w:rsidRPr="00C118A2" w14:paraId="5A2CB80A" w14:textId="77777777" w:rsidTr="000A5B75">
      <w:trPr>
        <w:trHeight w:val="564"/>
        <w:jc w:val="center"/>
      </w:trPr>
      <w:tc>
        <w:tcPr>
          <w:tcW w:w="2625"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14:paraId="4C3AD393" w14:textId="77777777" w:rsidR="00C118A2" w:rsidRPr="00C118A2" w:rsidRDefault="004C7D6F" w:rsidP="005A5EF4">
          <w:pPr>
            <w:pStyle w:val="Piedepgina"/>
            <w:jc w:val="center"/>
            <w:rPr>
              <w:rFonts w:cstheme="minorHAnsi"/>
              <w:b/>
              <w:sz w:val="24"/>
              <w:szCs w:val="24"/>
            </w:rPr>
          </w:pPr>
          <w:r>
            <w:rPr>
              <w:rFonts w:cstheme="minorHAnsi"/>
              <w:b/>
              <w:sz w:val="24"/>
              <w:szCs w:val="24"/>
            </w:rPr>
            <w:t>Versión</w:t>
          </w:r>
          <w:r w:rsidR="000A5B75">
            <w:rPr>
              <w:rFonts w:cstheme="minorHAnsi"/>
              <w:b/>
              <w:sz w:val="24"/>
              <w:szCs w:val="24"/>
            </w:rPr>
            <w:t>:</w:t>
          </w:r>
          <w:r>
            <w:rPr>
              <w:rFonts w:cstheme="minorHAnsi"/>
              <w:b/>
              <w:sz w:val="24"/>
              <w:szCs w:val="24"/>
            </w:rPr>
            <w:t xml:space="preserve"> 1.</w:t>
          </w:r>
          <w:r w:rsidR="0091580B">
            <w:rPr>
              <w:rFonts w:cstheme="minorHAnsi"/>
              <w:b/>
              <w:sz w:val="24"/>
              <w:szCs w:val="24"/>
            </w:rPr>
            <w:t>0</w:t>
          </w:r>
        </w:p>
      </w:tc>
      <w:tc>
        <w:tcPr>
          <w:tcW w:w="7723" w:type="dxa"/>
          <w:tcBorders>
            <w:top w:val="dotted" w:sz="4" w:space="0" w:color="auto"/>
            <w:left w:val="dotted" w:sz="4" w:space="0" w:color="auto"/>
            <w:bottom w:val="dotted" w:sz="4" w:space="0" w:color="auto"/>
            <w:right w:val="dotted" w:sz="4" w:space="0" w:color="auto"/>
          </w:tcBorders>
          <w:vAlign w:val="center"/>
        </w:tcPr>
        <w:p w14:paraId="07D38F4A" w14:textId="50DFBF9A" w:rsidR="00C118A2" w:rsidRPr="00C118A2" w:rsidRDefault="004C7D6F" w:rsidP="005A5EF4">
          <w:pPr>
            <w:pStyle w:val="Piedepgina"/>
            <w:jc w:val="both"/>
            <w:rPr>
              <w:rFonts w:cstheme="minorHAnsi"/>
              <w:sz w:val="24"/>
              <w:szCs w:val="24"/>
            </w:rPr>
          </w:pPr>
          <w:r>
            <w:rPr>
              <w:rFonts w:cstheme="minorHAnsi"/>
              <w:sz w:val="24"/>
              <w:szCs w:val="24"/>
            </w:rPr>
            <w:t>Fecha:</w:t>
          </w:r>
          <w:r w:rsidR="00AA0986">
            <w:rPr>
              <w:rFonts w:cstheme="minorHAnsi"/>
              <w:sz w:val="24"/>
              <w:szCs w:val="24"/>
            </w:rPr>
            <w:t xml:space="preserve"> </w:t>
          </w:r>
          <w:proofErr w:type="gramStart"/>
          <w:r w:rsidR="00AA0986">
            <w:rPr>
              <w:rFonts w:cstheme="minorHAnsi"/>
              <w:sz w:val="24"/>
              <w:szCs w:val="24"/>
            </w:rPr>
            <w:t>Octubre</w:t>
          </w:r>
          <w:proofErr w:type="gramEnd"/>
          <w:r w:rsidR="00AA0986">
            <w:rPr>
              <w:rFonts w:cstheme="minorHAnsi"/>
              <w:sz w:val="24"/>
              <w:szCs w:val="24"/>
            </w:rPr>
            <w:t xml:space="preserve"> 2023</w:t>
          </w:r>
        </w:p>
      </w:tc>
    </w:tr>
  </w:tbl>
  <w:p w14:paraId="009D2D48" w14:textId="77777777" w:rsidR="00CA4235" w:rsidRPr="00C118A2" w:rsidRDefault="00CA4235" w:rsidP="00781A7C">
    <w:pPr>
      <w:rPr>
        <w:rFonts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2943"/>
    <w:multiLevelType w:val="multilevel"/>
    <w:tmpl w:val="080A001F"/>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87467B"/>
    <w:multiLevelType w:val="hybridMultilevel"/>
    <w:tmpl w:val="34AC058A"/>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2" w15:restartNumberingAfterBreak="0">
    <w:nsid w:val="1ACA6AD9"/>
    <w:multiLevelType w:val="hybridMultilevel"/>
    <w:tmpl w:val="92A40312"/>
    <w:lvl w:ilvl="0" w:tplc="02BEB304">
      <w:start w:val="1"/>
      <w:numFmt w:val="decimal"/>
      <w:lvlText w:val="%1.0"/>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8975B8"/>
    <w:multiLevelType w:val="multilevel"/>
    <w:tmpl w:val="A776E7F4"/>
    <w:lvl w:ilvl="0">
      <w:start w:val="1"/>
      <w:numFmt w:val="decimal"/>
      <w:lvlText w:val="%1"/>
      <w:lvlJc w:val="left"/>
      <w:pPr>
        <w:ind w:left="1188" w:hanging="480"/>
      </w:pPr>
      <w:rPr>
        <w:rFonts w:hint="default"/>
      </w:rPr>
    </w:lvl>
    <w:lvl w:ilvl="1">
      <w:start w:val="6"/>
      <w:numFmt w:val="decimal"/>
      <w:lvlText w:val="%1.%2"/>
      <w:lvlJc w:val="left"/>
      <w:pPr>
        <w:ind w:left="1188"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4" w15:restartNumberingAfterBreak="0">
    <w:nsid w:val="24742A86"/>
    <w:multiLevelType w:val="multilevel"/>
    <w:tmpl w:val="40E0352C"/>
    <w:lvl w:ilvl="0">
      <w:start w:val="3"/>
      <w:numFmt w:val="decimal"/>
      <w:lvlText w:val="%1."/>
      <w:lvlJc w:val="left"/>
      <w:pPr>
        <w:ind w:left="360" w:hanging="360"/>
      </w:pPr>
      <w:rPr>
        <w:rFonts w:hint="default"/>
      </w:rPr>
    </w:lvl>
    <w:lvl w:ilvl="1">
      <w:start w:val="1"/>
      <w:numFmt w:val="decimal"/>
      <w:lvlText w:val="%1.%2."/>
      <w:lvlJc w:val="left"/>
      <w:pPr>
        <w:ind w:left="185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651746"/>
    <w:multiLevelType w:val="multilevel"/>
    <w:tmpl w:val="0EFA0196"/>
    <w:lvl w:ilvl="0">
      <w:start w:val="1"/>
      <w:numFmt w:val="decimal"/>
      <w:lvlText w:val="%1."/>
      <w:lvlJc w:val="left"/>
      <w:pPr>
        <w:ind w:left="720" w:hanging="720"/>
      </w:pPr>
      <w:rPr>
        <w:rFonts w:hint="default"/>
      </w:rPr>
    </w:lvl>
    <w:lvl w:ilvl="1">
      <w:start w:val="5"/>
      <w:numFmt w:val="decimal"/>
      <w:lvlText w:val="%1.%2."/>
      <w:lvlJc w:val="left"/>
      <w:pPr>
        <w:ind w:left="1224" w:hanging="720"/>
      </w:pPr>
      <w:rPr>
        <w:rFonts w:hint="default"/>
      </w:rPr>
    </w:lvl>
    <w:lvl w:ilvl="2">
      <w:start w:val="2"/>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6" w15:restartNumberingAfterBreak="0">
    <w:nsid w:val="333A086E"/>
    <w:multiLevelType w:val="hybridMultilevel"/>
    <w:tmpl w:val="1A3E14C2"/>
    <w:lvl w:ilvl="0" w:tplc="66E61B4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1D0CCC"/>
    <w:multiLevelType w:val="multilevel"/>
    <w:tmpl w:val="C66487B4"/>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C00570"/>
    <w:multiLevelType w:val="multilevel"/>
    <w:tmpl w:val="76449822"/>
    <w:lvl w:ilvl="0">
      <w:start w:val="1"/>
      <w:numFmt w:val="decimal"/>
      <w:lvlText w:val="%1"/>
      <w:lvlJc w:val="left"/>
      <w:pPr>
        <w:ind w:left="480" w:hanging="480"/>
      </w:pPr>
      <w:rPr>
        <w:rFonts w:hint="default"/>
      </w:rPr>
    </w:lvl>
    <w:lvl w:ilvl="1">
      <w:start w:val="5"/>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9" w15:restartNumberingAfterBreak="0">
    <w:nsid w:val="6A092F61"/>
    <w:multiLevelType w:val="multilevel"/>
    <w:tmpl w:val="72C2E4CA"/>
    <w:lvl w:ilvl="0">
      <w:start w:val="1"/>
      <w:numFmt w:val="lowerLetter"/>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99510259">
    <w:abstractNumId w:val="2"/>
  </w:num>
  <w:num w:numId="2" w16cid:durableId="1354988620">
    <w:abstractNumId w:val="0"/>
  </w:num>
  <w:num w:numId="3" w16cid:durableId="438061221">
    <w:abstractNumId w:val="6"/>
  </w:num>
  <w:num w:numId="4" w16cid:durableId="1172181158">
    <w:abstractNumId w:val="8"/>
  </w:num>
  <w:num w:numId="5" w16cid:durableId="813762401">
    <w:abstractNumId w:val="5"/>
  </w:num>
  <w:num w:numId="6" w16cid:durableId="857353633">
    <w:abstractNumId w:val="3"/>
  </w:num>
  <w:num w:numId="7" w16cid:durableId="537549369">
    <w:abstractNumId w:val="1"/>
  </w:num>
  <w:num w:numId="8" w16cid:durableId="1438135667">
    <w:abstractNumId w:val="9"/>
  </w:num>
  <w:num w:numId="9" w16cid:durableId="380176989">
    <w:abstractNumId w:val="7"/>
  </w:num>
  <w:num w:numId="10" w16cid:durableId="1744063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BE5"/>
    <w:rsid w:val="00013460"/>
    <w:rsid w:val="00063A3A"/>
    <w:rsid w:val="00090217"/>
    <w:rsid w:val="000A5B75"/>
    <w:rsid w:val="000D10DC"/>
    <w:rsid w:val="000D4AB9"/>
    <w:rsid w:val="000E0307"/>
    <w:rsid w:val="000E7608"/>
    <w:rsid w:val="000F7D11"/>
    <w:rsid w:val="00101455"/>
    <w:rsid w:val="00104FB4"/>
    <w:rsid w:val="0010785F"/>
    <w:rsid w:val="00116A81"/>
    <w:rsid w:val="001232C3"/>
    <w:rsid w:val="001335DF"/>
    <w:rsid w:val="001546EB"/>
    <w:rsid w:val="00155BF1"/>
    <w:rsid w:val="001B7362"/>
    <w:rsid w:val="001D1550"/>
    <w:rsid w:val="001D5152"/>
    <w:rsid w:val="001F65FC"/>
    <w:rsid w:val="00280829"/>
    <w:rsid w:val="002A7CAF"/>
    <w:rsid w:val="002E1E39"/>
    <w:rsid w:val="002F7261"/>
    <w:rsid w:val="00305356"/>
    <w:rsid w:val="00332C23"/>
    <w:rsid w:val="00371690"/>
    <w:rsid w:val="00382FC4"/>
    <w:rsid w:val="00390BAB"/>
    <w:rsid w:val="003A42A1"/>
    <w:rsid w:val="003A7A3B"/>
    <w:rsid w:val="003C7431"/>
    <w:rsid w:val="004032BA"/>
    <w:rsid w:val="00423B6F"/>
    <w:rsid w:val="0044653B"/>
    <w:rsid w:val="00471446"/>
    <w:rsid w:val="004805F4"/>
    <w:rsid w:val="00493526"/>
    <w:rsid w:val="004C65EC"/>
    <w:rsid w:val="004C7D6F"/>
    <w:rsid w:val="004D061E"/>
    <w:rsid w:val="004D2476"/>
    <w:rsid w:val="004D40DA"/>
    <w:rsid w:val="00501A72"/>
    <w:rsid w:val="005048FD"/>
    <w:rsid w:val="00516D55"/>
    <w:rsid w:val="005411A3"/>
    <w:rsid w:val="00564836"/>
    <w:rsid w:val="005750E9"/>
    <w:rsid w:val="00592D44"/>
    <w:rsid w:val="00595B47"/>
    <w:rsid w:val="00596F23"/>
    <w:rsid w:val="005E1A22"/>
    <w:rsid w:val="0060493A"/>
    <w:rsid w:val="00626EFE"/>
    <w:rsid w:val="0068324C"/>
    <w:rsid w:val="00684079"/>
    <w:rsid w:val="0069026B"/>
    <w:rsid w:val="006A2E5D"/>
    <w:rsid w:val="007007BF"/>
    <w:rsid w:val="007021C9"/>
    <w:rsid w:val="00770571"/>
    <w:rsid w:val="00771E53"/>
    <w:rsid w:val="00781A7C"/>
    <w:rsid w:val="00791177"/>
    <w:rsid w:val="007914BA"/>
    <w:rsid w:val="007A6C16"/>
    <w:rsid w:val="007D6CEC"/>
    <w:rsid w:val="007F587D"/>
    <w:rsid w:val="008359AF"/>
    <w:rsid w:val="00893667"/>
    <w:rsid w:val="008978F0"/>
    <w:rsid w:val="008A2FDD"/>
    <w:rsid w:val="008E0BE5"/>
    <w:rsid w:val="008E726D"/>
    <w:rsid w:val="0091580B"/>
    <w:rsid w:val="00936423"/>
    <w:rsid w:val="00985779"/>
    <w:rsid w:val="009A4066"/>
    <w:rsid w:val="009C4A15"/>
    <w:rsid w:val="009F21D8"/>
    <w:rsid w:val="00A15235"/>
    <w:rsid w:val="00A307FE"/>
    <w:rsid w:val="00A32302"/>
    <w:rsid w:val="00A471ED"/>
    <w:rsid w:val="00A50603"/>
    <w:rsid w:val="00A85348"/>
    <w:rsid w:val="00AA0986"/>
    <w:rsid w:val="00AF371E"/>
    <w:rsid w:val="00B206A2"/>
    <w:rsid w:val="00B20A8F"/>
    <w:rsid w:val="00B40ADE"/>
    <w:rsid w:val="00B738A0"/>
    <w:rsid w:val="00B912E1"/>
    <w:rsid w:val="00BC0FD2"/>
    <w:rsid w:val="00BE4FEA"/>
    <w:rsid w:val="00C118A2"/>
    <w:rsid w:val="00C25AF7"/>
    <w:rsid w:val="00C63815"/>
    <w:rsid w:val="00CA4235"/>
    <w:rsid w:val="00CB49D0"/>
    <w:rsid w:val="00CC54C4"/>
    <w:rsid w:val="00D263A3"/>
    <w:rsid w:val="00D32BB1"/>
    <w:rsid w:val="00D825D0"/>
    <w:rsid w:val="00D9759F"/>
    <w:rsid w:val="00DA7FDA"/>
    <w:rsid w:val="00DB0C43"/>
    <w:rsid w:val="00DE02D1"/>
    <w:rsid w:val="00E23765"/>
    <w:rsid w:val="00E26BA3"/>
    <w:rsid w:val="00E4288F"/>
    <w:rsid w:val="00E53B51"/>
    <w:rsid w:val="00E673A0"/>
    <w:rsid w:val="00E8079B"/>
    <w:rsid w:val="00EB1369"/>
    <w:rsid w:val="00EB1A52"/>
    <w:rsid w:val="00EC66F3"/>
    <w:rsid w:val="00ED0F2B"/>
    <w:rsid w:val="00EE5D02"/>
    <w:rsid w:val="00EF1BF8"/>
    <w:rsid w:val="00F268D4"/>
    <w:rsid w:val="00F26D2F"/>
    <w:rsid w:val="00F364D9"/>
    <w:rsid w:val="00F52203"/>
    <w:rsid w:val="00F64555"/>
    <w:rsid w:val="00F878D5"/>
    <w:rsid w:val="00FB5441"/>
    <w:rsid w:val="00FC7E7D"/>
    <w:rsid w:val="00FD6167"/>
    <w:rsid w:val="00FD7CC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D928A"/>
  <w15:docId w15:val="{2519E41B-DEFB-4564-AA47-9FEF83BD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2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42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4235"/>
  </w:style>
  <w:style w:type="paragraph" w:styleId="Piedepgina">
    <w:name w:val="footer"/>
    <w:basedOn w:val="Normal"/>
    <w:link w:val="PiedepginaCar"/>
    <w:uiPriority w:val="99"/>
    <w:unhideWhenUsed/>
    <w:rsid w:val="00CA42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4235"/>
  </w:style>
  <w:style w:type="table" w:styleId="Tablaconcuadrcula">
    <w:name w:val="Table Grid"/>
    <w:basedOn w:val="Tablanormal"/>
    <w:uiPriority w:val="59"/>
    <w:rsid w:val="00CA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1446"/>
    <w:pPr>
      <w:ind w:left="720"/>
      <w:contextualSpacing/>
    </w:pPr>
  </w:style>
  <w:style w:type="table" w:customStyle="1" w:styleId="Tablaconcuadrcula1">
    <w:name w:val="Tabla con cuadrícula1"/>
    <w:basedOn w:val="Tablanormal"/>
    <w:next w:val="Tablaconcuadrcula"/>
    <w:uiPriority w:val="59"/>
    <w:rsid w:val="0015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878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78D5"/>
    <w:rPr>
      <w:rFonts w:ascii="Tahoma" w:hAnsi="Tahoma" w:cs="Tahoma"/>
      <w:sz w:val="16"/>
      <w:szCs w:val="16"/>
    </w:rPr>
  </w:style>
  <w:style w:type="character" w:styleId="Refdecomentario">
    <w:name w:val="annotation reference"/>
    <w:basedOn w:val="Fuentedeprrafopredeter"/>
    <w:uiPriority w:val="99"/>
    <w:semiHidden/>
    <w:unhideWhenUsed/>
    <w:rsid w:val="00F878D5"/>
    <w:rPr>
      <w:sz w:val="16"/>
      <w:szCs w:val="16"/>
    </w:rPr>
  </w:style>
  <w:style w:type="paragraph" w:styleId="Textocomentario">
    <w:name w:val="annotation text"/>
    <w:basedOn w:val="Normal"/>
    <w:link w:val="TextocomentarioCar"/>
    <w:uiPriority w:val="99"/>
    <w:semiHidden/>
    <w:unhideWhenUsed/>
    <w:rsid w:val="00F878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78D5"/>
    <w:rPr>
      <w:sz w:val="20"/>
      <w:szCs w:val="20"/>
    </w:rPr>
  </w:style>
  <w:style w:type="paragraph" w:styleId="Asuntodelcomentario">
    <w:name w:val="annotation subject"/>
    <w:basedOn w:val="Textocomentario"/>
    <w:next w:val="Textocomentario"/>
    <w:link w:val="AsuntodelcomentarioCar"/>
    <w:uiPriority w:val="99"/>
    <w:semiHidden/>
    <w:unhideWhenUsed/>
    <w:rsid w:val="00F878D5"/>
    <w:rPr>
      <w:b/>
      <w:bCs/>
    </w:rPr>
  </w:style>
  <w:style w:type="character" w:customStyle="1" w:styleId="AsuntodelcomentarioCar">
    <w:name w:val="Asunto del comentario Car"/>
    <w:basedOn w:val="TextocomentarioCar"/>
    <w:link w:val="Asuntodelcomentario"/>
    <w:uiPriority w:val="99"/>
    <w:semiHidden/>
    <w:rsid w:val="00F878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462</Words>
  <Characters>2544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Camilo Salas</dc:creator>
  <cp:lastModifiedBy>Magalys Quintana Tuñon</cp:lastModifiedBy>
  <cp:revision>9</cp:revision>
  <cp:lastPrinted>2018-04-25T20:58:00Z</cp:lastPrinted>
  <dcterms:created xsi:type="dcterms:W3CDTF">2023-10-06T19:12:00Z</dcterms:created>
  <dcterms:modified xsi:type="dcterms:W3CDTF">2023-11-01T17:18:00Z</dcterms:modified>
</cp:coreProperties>
</file>