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885" w:type="dxa"/>
        <w:tblLook w:val="04A0" w:firstRow="1" w:lastRow="0" w:firstColumn="1" w:lastColumn="0" w:noHBand="0" w:noVBand="1"/>
      </w:tblPr>
      <w:tblGrid>
        <w:gridCol w:w="3007"/>
        <w:gridCol w:w="7200"/>
      </w:tblGrid>
      <w:tr w:rsidR="00367560" w14:paraId="078C8CB8" w14:textId="77777777" w:rsidTr="00173492">
        <w:tc>
          <w:tcPr>
            <w:tcW w:w="10207" w:type="dxa"/>
            <w:gridSpan w:val="2"/>
            <w:tcBorders>
              <w:top w:val="dotted" w:sz="4" w:space="0" w:color="auto"/>
              <w:left w:val="dotted" w:sz="4" w:space="0" w:color="auto"/>
              <w:bottom w:val="dotted" w:sz="4" w:space="0" w:color="auto"/>
              <w:right w:val="dotted" w:sz="4" w:space="0" w:color="auto"/>
            </w:tcBorders>
            <w:shd w:val="clear" w:color="auto" w:fill="C2D69B"/>
          </w:tcPr>
          <w:p w14:paraId="18B23449" w14:textId="77777777" w:rsidR="00367560" w:rsidRPr="00367560" w:rsidRDefault="00367560" w:rsidP="00367560">
            <w:pPr>
              <w:jc w:val="center"/>
              <w:rPr>
                <w:b/>
                <w:sz w:val="24"/>
              </w:rPr>
            </w:pPr>
            <w:r w:rsidRPr="00367560">
              <w:rPr>
                <w:b/>
                <w:sz w:val="24"/>
              </w:rPr>
              <w:t>Objetivo</w:t>
            </w:r>
          </w:p>
        </w:tc>
      </w:tr>
      <w:tr w:rsidR="00367560" w14:paraId="211FD85B" w14:textId="77777777" w:rsidTr="00173492">
        <w:tc>
          <w:tcPr>
            <w:tcW w:w="1020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1927A634" w14:textId="34DD0412" w:rsidR="00173492" w:rsidRPr="00367560" w:rsidRDefault="00367560" w:rsidP="00367560">
            <w:pPr>
              <w:jc w:val="both"/>
              <w:rPr>
                <w:bCs/>
                <w:sz w:val="24"/>
              </w:rPr>
            </w:pPr>
            <w:r w:rsidRPr="00367560">
              <w:rPr>
                <w:bCs/>
                <w:sz w:val="24"/>
              </w:rPr>
              <w:t xml:space="preserve">El propósito de este procedimiento operativo estándar es establecer las directrices y requisitos para la </w:t>
            </w:r>
            <w:r w:rsidR="00C1645B">
              <w:rPr>
                <w:bCs/>
                <w:sz w:val="24"/>
              </w:rPr>
              <w:t xml:space="preserve">presentación de protocolos </w:t>
            </w:r>
            <w:r w:rsidRPr="00367560">
              <w:rPr>
                <w:bCs/>
                <w:sz w:val="24"/>
              </w:rPr>
              <w:t>de investigaciones en seres humanos, de tipo de ensayo clínico, que involucren el uso de productos de cannabis medicinal y sus derivados de producción nacional o importados, de acuerdo con</w:t>
            </w:r>
            <w:r w:rsidR="0091163D">
              <w:rPr>
                <w:bCs/>
                <w:sz w:val="24"/>
              </w:rPr>
              <w:t xml:space="preserve"> </w:t>
            </w:r>
            <w:r w:rsidR="00DF7929">
              <w:rPr>
                <w:bCs/>
                <w:sz w:val="24"/>
              </w:rPr>
              <w:t>el</w:t>
            </w:r>
            <w:r w:rsidRPr="00367560">
              <w:rPr>
                <w:bCs/>
                <w:sz w:val="24"/>
              </w:rPr>
              <w:t xml:space="preserve"> Decreto Ejecutivo</w:t>
            </w:r>
            <w:r w:rsidR="0091163D">
              <w:rPr>
                <w:bCs/>
                <w:sz w:val="24"/>
              </w:rPr>
              <w:t xml:space="preserve"> N°6</w:t>
            </w:r>
            <w:r w:rsidRPr="00367560">
              <w:rPr>
                <w:bCs/>
                <w:sz w:val="24"/>
              </w:rPr>
              <w:t xml:space="preserve"> del 4 de abril de 2025 que</w:t>
            </w:r>
            <w:r w:rsidR="0091163D">
              <w:rPr>
                <w:bCs/>
                <w:sz w:val="24"/>
              </w:rPr>
              <w:t xml:space="preserve"> reglamenta la Ley No. 242 de 13 de octubre de 2021, que</w:t>
            </w:r>
            <w:r w:rsidRPr="00367560">
              <w:rPr>
                <w:bCs/>
                <w:sz w:val="24"/>
              </w:rPr>
              <w:t xml:space="preserve"> regula el uso medicinal y terapéutico del Cannabis y dicta otras disposiciones.</w:t>
            </w:r>
          </w:p>
        </w:tc>
      </w:tr>
      <w:tr w:rsidR="00173492" w14:paraId="2349A833" w14:textId="77777777" w:rsidTr="005D6385">
        <w:trPr>
          <w:trHeight w:val="408"/>
        </w:trPr>
        <w:tc>
          <w:tcPr>
            <w:tcW w:w="10207" w:type="dxa"/>
            <w:gridSpan w:val="2"/>
            <w:tcBorders>
              <w:top w:val="dotted" w:sz="4" w:space="0" w:color="auto"/>
              <w:left w:val="dotted" w:sz="4" w:space="0" w:color="auto"/>
              <w:bottom w:val="dotted" w:sz="4" w:space="0" w:color="auto"/>
              <w:right w:val="dotted" w:sz="4" w:space="0" w:color="auto"/>
            </w:tcBorders>
            <w:shd w:val="clear" w:color="auto" w:fill="C2D69B"/>
          </w:tcPr>
          <w:p w14:paraId="33A6DBC3" w14:textId="44C676CA" w:rsidR="00173492" w:rsidRPr="00173492" w:rsidRDefault="00173492" w:rsidP="00173492">
            <w:pPr>
              <w:jc w:val="center"/>
              <w:rPr>
                <w:b/>
                <w:sz w:val="24"/>
              </w:rPr>
            </w:pPr>
            <w:r w:rsidRPr="00173492">
              <w:rPr>
                <w:b/>
                <w:sz w:val="24"/>
              </w:rPr>
              <w:t>Responsabilidades</w:t>
            </w:r>
          </w:p>
        </w:tc>
      </w:tr>
      <w:tr w:rsidR="005D6385" w14:paraId="2C6636A0" w14:textId="15A8C698" w:rsidTr="00E97F2E">
        <w:trPr>
          <w:trHeight w:val="699"/>
        </w:trPr>
        <w:tc>
          <w:tcPr>
            <w:tcW w:w="3007" w:type="dxa"/>
            <w:tcBorders>
              <w:top w:val="dotted" w:sz="4" w:space="0" w:color="auto"/>
              <w:left w:val="dotted" w:sz="4" w:space="0" w:color="auto"/>
              <w:bottom w:val="dotted" w:sz="4" w:space="0" w:color="auto"/>
              <w:right w:val="single" w:sz="4" w:space="0" w:color="auto"/>
            </w:tcBorders>
            <w:shd w:val="clear" w:color="auto" w:fill="FFFFFF" w:themeFill="background1"/>
          </w:tcPr>
          <w:p w14:paraId="5F53C981" w14:textId="743B080E" w:rsidR="005D6385" w:rsidRDefault="005D6385" w:rsidP="00367560">
            <w:pPr>
              <w:jc w:val="both"/>
              <w:rPr>
                <w:bCs/>
                <w:sz w:val="24"/>
              </w:rPr>
            </w:pPr>
            <w:r w:rsidRPr="005D6385">
              <w:rPr>
                <w:bCs/>
                <w:i/>
                <w:sz w:val="24"/>
              </w:rPr>
              <w:t>Secretaría Técnica</w:t>
            </w:r>
          </w:p>
        </w:tc>
        <w:tc>
          <w:tcPr>
            <w:tcW w:w="7200" w:type="dxa"/>
            <w:tcBorders>
              <w:top w:val="dotted" w:sz="4" w:space="0" w:color="auto"/>
              <w:left w:val="single" w:sz="4" w:space="0" w:color="auto"/>
              <w:bottom w:val="dotted" w:sz="4" w:space="0" w:color="auto"/>
              <w:right w:val="dotted" w:sz="4" w:space="0" w:color="auto"/>
            </w:tcBorders>
            <w:shd w:val="clear" w:color="auto" w:fill="FFFFFF" w:themeFill="background1"/>
          </w:tcPr>
          <w:p w14:paraId="06D76A92" w14:textId="5A5151BB" w:rsidR="005D6385" w:rsidRDefault="005D6385" w:rsidP="00367560">
            <w:pPr>
              <w:jc w:val="both"/>
              <w:rPr>
                <w:bCs/>
                <w:sz w:val="24"/>
              </w:rPr>
            </w:pPr>
            <w:r w:rsidRPr="005D6385">
              <w:rPr>
                <w:bCs/>
                <w:i/>
                <w:sz w:val="24"/>
              </w:rPr>
              <w:t>Recibir toda la documentación de los estudios y comunicarlo a la presidencia del CNBI.</w:t>
            </w:r>
          </w:p>
        </w:tc>
      </w:tr>
      <w:tr w:rsidR="005D6385" w14:paraId="42A56A2C" w14:textId="12729517" w:rsidTr="005D6385">
        <w:tc>
          <w:tcPr>
            <w:tcW w:w="3007" w:type="dxa"/>
            <w:tcBorders>
              <w:top w:val="dotted" w:sz="4" w:space="0" w:color="auto"/>
              <w:left w:val="dotted" w:sz="4" w:space="0" w:color="auto"/>
              <w:bottom w:val="dotted" w:sz="4" w:space="0" w:color="auto"/>
              <w:right w:val="single" w:sz="4" w:space="0" w:color="auto"/>
            </w:tcBorders>
            <w:shd w:val="clear" w:color="auto" w:fill="FFFFFF" w:themeFill="background1"/>
          </w:tcPr>
          <w:p w14:paraId="61B0471F" w14:textId="4CE68E28" w:rsidR="005D6385" w:rsidRDefault="005D6385" w:rsidP="00367560">
            <w:pPr>
              <w:jc w:val="both"/>
              <w:rPr>
                <w:bCs/>
                <w:sz w:val="24"/>
              </w:rPr>
            </w:pPr>
            <w:r w:rsidRPr="005D6385">
              <w:rPr>
                <w:bCs/>
                <w:i/>
                <w:sz w:val="24"/>
              </w:rPr>
              <w:t>Presidencia</w:t>
            </w:r>
          </w:p>
        </w:tc>
        <w:tc>
          <w:tcPr>
            <w:tcW w:w="7200" w:type="dxa"/>
            <w:tcBorders>
              <w:top w:val="dotted" w:sz="4" w:space="0" w:color="auto"/>
              <w:left w:val="single" w:sz="4" w:space="0" w:color="auto"/>
              <w:bottom w:val="dotted" w:sz="4" w:space="0" w:color="auto"/>
              <w:right w:val="dotted" w:sz="4" w:space="0" w:color="auto"/>
            </w:tcBorders>
            <w:shd w:val="clear" w:color="auto" w:fill="FFFFFF" w:themeFill="background1"/>
          </w:tcPr>
          <w:p w14:paraId="50CE3D51" w14:textId="25433561" w:rsidR="005D6385" w:rsidRDefault="005D6385" w:rsidP="00367560">
            <w:pPr>
              <w:jc w:val="both"/>
              <w:rPr>
                <w:bCs/>
                <w:sz w:val="24"/>
              </w:rPr>
            </w:pPr>
            <w:r w:rsidRPr="005D6385">
              <w:rPr>
                <w:bCs/>
                <w:i/>
                <w:sz w:val="24"/>
              </w:rPr>
              <w:t>Designar tres revisores y designar un revisor externo si lo considera necesario. Convocar a una reunión ordinaria para la revisión especial del protocolo. Dar respuesta a la solicitud</w:t>
            </w:r>
            <w:r>
              <w:rPr>
                <w:bCs/>
                <w:i/>
                <w:sz w:val="24"/>
              </w:rPr>
              <w:t>.</w:t>
            </w:r>
          </w:p>
        </w:tc>
      </w:tr>
      <w:tr w:rsidR="005D6385" w14:paraId="18AA440B" w14:textId="6D70EECB" w:rsidTr="005D6385">
        <w:tc>
          <w:tcPr>
            <w:tcW w:w="3007" w:type="dxa"/>
            <w:tcBorders>
              <w:top w:val="dotted" w:sz="4" w:space="0" w:color="auto"/>
              <w:left w:val="dotted" w:sz="4" w:space="0" w:color="auto"/>
              <w:bottom w:val="dotted" w:sz="4" w:space="0" w:color="auto"/>
              <w:right w:val="single" w:sz="4" w:space="0" w:color="auto"/>
            </w:tcBorders>
            <w:shd w:val="clear" w:color="auto" w:fill="FFFFFF" w:themeFill="background1"/>
          </w:tcPr>
          <w:p w14:paraId="4A862E47" w14:textId="3ED0CA3A" w:rsidR="005D6385" w:rsidRDefault="005D6385" w:rsidP="00367560">
            <w:pPr>
              <w:jc w:val="both"/>
              <w:rPr>
                <w:bCs/>
                <w:sz w:val="24"/>
              </w:rPr>
            </w:pPr>
            <w:r w:rsidRPr="005D6385">
              <w:rPr>
                <w:bCs/>
                <w:i/>
                <w:sz w:val="24"/>
              </w:rPr>
              <w:t>Miembros del Comité</w:t>
            </w:r>
          </w:p>
        </w:tc>
        <w:tc>
          <w:tcPr>
            <w:tcW w:w="7200" w:type="dxa"/>
            <w:tcBorders>
              <w:top w:val="dotted" w:sz="4" w:space="0" w:color="auto"/>
              <w:left w:val="single" w:sz="4" w:space="0" w:color="auto"/>
              <w:bottom w:val="dotted" w:sz="4" w:space="0" w:color="auto"/>
              <w:right w:val="dotted" w:sz="4" w:space="0" w:color="auto"/>
            </w:tcBorders>
            <w:shd w:val="clear" w:color="auto" w:fill="FFFFFF" w:themeFill="background1"/>
          </w:tcPr>
          <w:p w14:paraId="2085C7CD" w14:textId="4F4D4566" w:rsidR="005D6385" w:rsidRDefault="005D6385" w:rsidP="00367560">
            <w:pPr>
              <w:jc w:val="both"/>
              <w:rPr>
                <w:bCs/>
                <w:sz w:val="24"/>
              </w:rPr>
            </w:pPr>
            <w:r w:rsidRPr="005D6385">
              <w:rPr>
                <w:bCs/>
                <w:i/>
                <w:sz w:val="24"/>
              </w:rPr>
              <w:t>Asistir a la reunión ordinaria y deliberar sobre el protocolo de acuerdo con los puntos que presenten los revisores.</w:t>
            </w:r>
          </w:p>
        </w:tc>
      </w:tr>
      <w:tr w:rsidR="00173492" w14:paraId="48139257" w14:textId="77777777" w:rsidTr="00173492">
        <w:tc>
          <w:tcPr>
            <w:tcW w:w="10207" w:type="dxa"/>
            <w:gridSpan w:val="2"/>
            <w:shd w:val="clear" w:color="auto" w:fill="C2D69B"/>
          </w:tcPr>
          <w:p w14:paraId="79518977" w14:textId="2780CBF0" w:rsidR="00173492" w:rsidRPr="00367560" w:rsidRDefault="00173492" w:rsidP="00FD3191">
            <w:pPr>
              <w:jc w:val="center"/>
              <w:rPr>
                <w:bCs/>
                <w:sz w:val="24"/>
              </w:rPr>
            </w:pPr>
            <w:r w:rsidRPr="004C3C45">
              <w:rPr>
                <w:b/>
                <w:sz w:val="24"/>
              </w:rPr>
              <w:t>Observaciones Generales</w:t>
            </w:r>
          </w:p>
        </w:tc>
      </w:tr>
      <w:tr w:rsidR="00173492" w:rsidRPr="004C3C45" w14:paraId="5FC8D70F" w14:textId="77777777" w:rsidTr="0017349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207" w:type="dxa"/>
            <w:gridSpan w:val="2"/>
            <w:tcBorders>
              <w:bottom w:val="dotted" w:sz="4" w:space="0" w:color="auto"/>
            </w:tcBorders>
          </w:tcPr>
          <w:p w14:paraId="094A03EA" w14:textId="77777777" w:rsidR="00173492" w:rsidRPr="004703CE" w:rsidRDefault="00173492" w:rsidP="004703CE">
            <w:pPr>
              <w:pStyle w:val="Sinespaciado"/>
              <w:spacing w:line="276" w:lineRule="auto"/>
              <w:ind w:left="284"/>
              <w:jc w:val="both"/>
              <w:rPr>
                <w:rFonts w:cs="Calibri"/>
                <w:sz w:val="24"/>
                <w:szCs w:val="24"/>
              </w:rPr>
            </w:pPr>
          </w:p>
          <w:p w14:paraId="73EC873A" w14:textId="77777777" w:rsidR="009E7898" w:rsidRPr="004703CE" w:rsidRDefault="00173492" w:rsidP="004703CE">
            <w:pPr>
              <w:pStyle w:val="Sinespaciado"/>
              <w:numPr>
                <w:ilvl w:val="0"/>
                <w:numId w:val="22"/>
              </w:numPr>
              <w:spacing w:line="276" w:lineRule="auto"/>
              <w:jc w:val="both"/>
              <w:rPr>
                <w:rFonts w:cs="Calibri"/>
                <w:sz w:val="24"/>
                <w:szCs w:val="24"/>
              </w:rPr>
            </w:pPr>
            <w:r w:rsidRPr="004703CE">
              <w:rPr>
                <w:rFonts w:cs="Calibri"/>
                <w:sz w:val="24"/>
                <w:szCs w:val="24"/>
              </w:rPr>
              <w:t xml:space="preserve">Según lo dispuesto </w:t>
            </w:r>
            <w:r w:rsidR="00A07001" w:rsidRPr="004703CE">
              <w:rPr>
                <w:rFonts w:cs="Calibri"/>
                <w:sz w:val="24"/>
                <w:szCs w:val="24"/>
              </w:rPr>
              <w:t>en el artículo 57, numeral 2, del</w:t>
            </w:r>
            <w:r w:rsidRPr="004703CE">
              <w:rPr>
                <w:rFonts w:cs="Calibri"/>
                <w:sz w:val="24"/>
                <w:szCs w:val="24"/>
              </w:rPr>
              <w:t xml:space="preserve"> Decreto Ejecutivo</w:t>
            </w:r>
            <w:r w:rsidR="00241F7D" w:rsidRPr="004703CE">
              <w:rPr>
                <w:rFonts w:cs="Calibri"/>
                <w:sz w:val="24"/>
                <w:szCs w:val="24"/>
              </w:rPr>
              <w:t xml:space="preserve"> N°6</w:t>
            </w:r>
            <w:r w:rsidRPr="004703CE">
              <w:rPr>
                <w:rFonts w:cs="Calibri"/>
                <w:sz w:val="24"/>
                <w:szCs w:val="24"/>
              </w:rPr>
              <w:t xml:space="preserve"> de 4 de abril de 2025, </w:t>
            </w:r>
            <w:r w:rsidR="000F3D7A" w:rsidRPr="004703CE">
              <w:rPr>
                <w:rFonts w:cs="Calibri"/>
                <w:sz w:val="24"/>
                <w:szCs w:val="24"/>
              </w:rPr>
              <w:t xml:space="preserve">los </w:t>
            </w:r>
            <w:r w:rsidRPr="004703CE">
              <w:rPr>
                <w:rFonts w:cs="Calibri"/>
                <w:sz w:val="24"/>
                <w:szCs w:val="24"/>
              </w:rPr>
              <w:t>protocolos de investigación en seres humanos que utilicen productos de cannabis medicinal y sus derivados de producción nacional o importados</w:t>
            </w:r>
            <w:r w:rsidR="006820B7" w:rsidRPr="004703CE">
              <w:rPr>
                <w:rFonts w:cs="Calibri"/>
                <w:sz w:val="24"/>
                <w:szCs w:val="24"/>
              </w:rPr>
              <w:t>,</w:t>
            </w:r>
            <w:r w:rsidR="00600148" w:rsidRPr="004703CE">
              <w:rPr>
                <w:rFonts w:cs="Calibri"/>
                <w:sz w:val="24"/>
                <w:szCs w:val="24"/>
              </w:rPr>
              <w:t xml:space="preserve"> deberán contar con la aprobación ética del CNBI o de los CBI acreditados</w:t>
            </w:r>
            <w:r w:rsidRPr="004703CE">
              <w:rPr>
                <w:rFonts w:cs="Calibri"/>
                <w:sz w:val="24"/>
                <w:szCs w:val="24"/>
              </w:rPr>
              <w:t>.</w:t>
            </w:r>
            <w:r w:rsidR="000F3D7A" w:rsidRPr="004703CE">
              <w:rPr>
                <w:rFonts w:cs="Calibri"/>
                <w:sz w:val="24"/>
                <w:szCs w:val="24"/>
              </w:rPr>
              <w:t xml:space="preserve"> </w:t>
            </w:r>
          </w:p>
          <w:p w14:paraId="59497884" w14:textId="77777777" w:rsidR="009E7898" w:rsidRPr="004703CE" w:rsidRDefault="000C184D" w:rsidP="004703CE">
            <w:pPr>
              <w:pStyle w:val="Sinespaciado"/>
              <w:numPr>
                <w:ilvl w:val="0"/>
                <w:numId w:val="22"/>
              </w:numPr>
              <w:spacing w:line="276" w:lineRule="auto"/>
              <w:jc w:val="both"/>
              <w:rPr>
                <w:rFonts w:cs="Calibri"/>
                <w:sz w:val="24"/>
                <w:szCs w:val="24"/>
              </w:rPr>
            </w:pPr>
            <w:r w:rsidRPr="004703CE">
              <w:rPr>
                <w:rFonts w:cs="Calibri"/>
                <w:sz w:val="24"/>
                <w:szCs w:val="24"/>
              </w:rPr>
              <w:t>Este procedimiento aplica únicamente a los ensayos clínicos que involucren estudios con Cannabis y sus derivados. Los demás estudios relacionados con Cannabis que no correspondan a ensayos clínicos deberán seguir el procedimiento regular correspondiente al perfil de investigación que se esté desarrollando.</w:t>
            </w:r>
          </w:p>
          <w:p w14:paraId="6A8B33A6" w14:textId="2A1741F1" w:rsidR="005327CA" w:rsidRPr="004703CE" w:rsidRDefault="004E15D6" w:rsidP="004703CE">
            <w:pPr>
              <w:pStyle w:val="Sinespaciado"/>
              <w:numPr>
                <w:ilvl w:val="0"/>
                <w:numId w:val="22"/>
              </w:numPr>
              <w:spacing w:line="276" w:lineRule="auto"/>
              <w:jc w:val="both"/>
              <w:rPr>
                <w:rFonts w:cs="Calibri"/>
                <w:sz w:val="24"/>
                <w:szCs w:val="24"/>
              </w:rPr>
            </w:pPr>
            <w:r w:rsidRPr="004703CE">
              <w:rPr>
                <w:rFonts w:cs="Calibri"/>
                <w:sz w:val="24"/>
                <w:szCs w:val="24"/>
              </w:rPr>
              <w:t xml:space="preserve">Según los dispuesto en el artículo 15 de la Resolución 512 del 28 de junio de 2019, el estudio solo será aceptado por el CNBI si, conforme al protocolo, </w:t>
            </w:r>
            <w:r w:rsidR="00DE3149" w:rsidRPr="004703CE">
              <w:rPr>
                <w:rFonts w:cs="Calibri"/>
                <w:sz w:val="24"/>
                <w:szCs w:val="24"/>
              </w:rPr>
              <w:t xml:space="preserve">las unidades técnicas-normativas del Ministerio de Salud correspondientes </w:t>
            </w:r>
            <w:r w:rsidRPr="004703CE">
              <w:rPr>
                <w:rFonts w:cs="Calibri"/>
                <w:sz w:val="24"/>
                <w:szCs w:val="24"/>
              </w:rPr>
              <w:t>determin</w:t>
            </w:r>
            <w:r w:rsidR="00DE3149" w:rsidRPr="004703CE">
              <w:rPr>
                <w:rFonts w:cs="Calibri"/>
                <w:sz w:val="24"/>
                <w:szCs w:val="24"/>
              </w:rPr>
              <w:t>en</w:t>
            </w:r>
            <w:r w:rsidRPr="004703CE">
              <w:rPr>
                <w:rFonts w:cs="Calibri"/>
                <w:sz w:val="24"/>
                <w:szCs w:val="24"/>
              </w:rPr>
              <w:t xml:space="preserve"> que la propuesta de investigación incide en su contenido</w:t>
            </w:r>
            <w:r w:rsidR="00DE3149" w:rsidRPr="004703CE">
              <w:rPr>
                <w:rFonts w:cs="Calibri"/>
                <w:sz w:val="24"/>
                <w:szCs w:val="24"/>
              </w:rPr>
              <w:t>, en los criterios de evaluación</w:t>
            </w:r>
            <w:r w:rsidRPr="004703CE">
              <w:rPr>
                <w:rFonts w:cs="Calibri"/>
                <w:sz w:val="24"/>
                <w:szCs w:val="24"/>
              </w:rPr>
              <w:t xml:space="preserve">. En tal caso, se solicitará al investigador o al Comité </w:t>
            </w:r>
            <w:r w:rsidRPr="004703CE">
              <w:rPr>
                <w:rFonts w:cs="Calibri"/>
                <w:sz w:val="24"/>
                <w:szCs w:val="24"/>
              </w:rPr>
              <w:lastRenderedPageBreak/>
              <w:t xml:space="preserve">de Bioética de la Investigación correspondiente, previa comunicación al investigador, que el protocolo sea presentado al CNBI para su revisión y aprobación. </w:t>
            </w:r>
          </w:p>
          <w:p w14:paraId="412F5B56" w14:textId="6A184AC6" w:rsidR="00173492" w:rsidRPr="004703CE" w:rsidRDefault="00173492" w:rsidP="004703CE">
            <w:pPr>
              <w:pStyle w:val="Sinespaciado"/>
              <w:numPr>
                <w:ilvl w:val="0"/>
                <w:numId w:val="21"/>
              </w:numPr>
              <w:spacing w:line="276" w:lineRule="auto"/>
              <w:ind w:right="-1"/>
              <w:jc w:val="both"/>
              <w:rPr>
                <w:rFonts w:cs="Calibri"/>
                <w:sz w:val="24"/>
                <w:szCs w:val="24"/>
              </w:rPr>
            </w:pPr>
            <w:r w:rsidRPr="004703CE">
              <w:rPr>
                <w:rFonts w:cs="Calibri"/>
                <w:sz w:val="24"/>
                <w:szCs w:val="24"/>
              </w:rPr>
              <w:t>Los protocolos se presentarán exclusivamente en formato pdf</w:t>
            </w:r>
            <w:r w:rsidR="00FF649F" w:rsidRPr="004703CE">
              <w:rPr>
                <w:rFonts w:cs="Calibri"/>
                <w:sz w:val="24"/>
                <w:szCs w:val="24"/>
              </w:rPr>
              <w:t xml:space="preserve"> </w:t>
            </w:r>
            <w:r w:rsidRPr="004703CE">
              <w:rPr>
                <w:rFonts w:cs="Calibri"/>
                <w:sz w:val="24"/>
                <w:szCs w:val="24"/>
              </w:rPr>
              <w:t xml:space="preserve">y acompañados por una </w:t>
            </w:r>
            <w:r w:rsidR="006124B3" w:rsidRPr="004703CE">
              <w:rPr>
                <w:rFonts w:cs="Calibri"/>
                <w:sz w:val="24"/>
                <w:szCs w:val="24"/>
              </w:rPr>
              <w:t>carta dirigida</w:t>
            </w:r>
            <w:r w:rsidRPr="004703CE">
              <w:rPr>
                <w:rFonts w:cs="Calibri"/>
                <w:sz w:val="24"/>
                <w:szCs w:val="24"/>
              </w:rPr>
              <w:t xml:space="preserve"> al </w:t>
            </w:r>
            <w:r w:rsidR="00257577" w:rsidRPr="004703CE">
              <w:rPr>
                <w:rFonts w:cs="Calibri"/>
                <w:sz w:val="24"/>
                <w:szCs w:val="24"/>
              </w:rPr>
              <w:t>presidente</w:t>
            </w:r>
            <w:r w:rsidRPr="004703CE">
              <w:rPr>
                <w:rFonts w:cs="Calibri"/>
                <w:sz w:val="24"/>
                <w:szCs w:val="24"/>
              </w:rPr>
              <w:t xml:space="preserve"> del CNBI, la cual deberá contener, como mínimo, los siguientes elementos: </w:t>
            </w:r>
          </w:p>
          <w:p w14:paraId="50CFCF14" w14:textId="77777777" w:rsidR="00173492" w:rsidRPr="004703CE" w:rsidRDefault="00173492" w:rsidP="004703CE">
            <w:pPr>
              <w:pStyle w:val="Sinespaciado"/>
              <w:numPr>
                <w:ilvl w:val="0"/>
                <w:numId w:val="10"/>
              </w:numPr>
              <w:spacing w:line="276" w:lineRule="auto"/>
              <w:ind w:right="-1"/>
              <w:jc w:val="both"/>
              <w:rPr>
                <w:rFonts w:cs="Calibri"/>
                <w:sz w:val="24"/>
                <w:szCs w:val="24"/>
              </w:rPr>
            </w:pPr>
            <w:r w:rsidRPr="004703CE">
              <w:rPr>
                <w:rFonts w:cs="Calibri"/>
                <w:sz w:val="24"/>
                <w:szCs w:val="24"/>
              </w:rPr>
              <w:t xml:space="preserve">Título del protocolo, </w:t>
            </w:r>
          </w:p>
          <w:p w14:paraId="4F480E21" w14:textId="77777777" w:rsidR="00173492" w:rsidRPr="004703CE" w:rsidRDefault="00173492" w:rsidP="004703CE">
            <w:pPr>
              <w:pStyle w:val="Sinespaciado"/>
              <w:numPr>
                <w:ilvl w:val="0"/>
                <w:numId w:val="10"/>
              </w:numPr>
              <w:spacing w:line="276" w:lineRule="auto"/>
              <w:ind w:right="-1"/>
              <w:jc w:val="both"/>
              <w:rPr>
                <w:rFonts w:cs="Calibri"/>
                <w:sz w:val="24"/>
                <w:szCs w:val="24"/>
              </w:rPr>
            </w:pPr>
            <w:r w:rsidRPr="004703CE">
              <w:rPr>
                <w:rFonts w:cs="Calibri"/>
                <w:sz w:val="24"/>
                <w:szCs w:val="24"/>
              </w:rPr>
              <w:t xml:space="preserve">Descripción del estudio, </w:t>
            </w:r>
          </w:p>
          <w:p w14:paraId="1A52D5FE" w14:textId="77777777" w:rsidR="00173492" w:rsidRPr="004703CE" w:rsidRDefault="00173492" w:rsidP="004703CE">
            <w:pPr>
              <w:pStyle w:val="Sinespaciado"/>
              <w:numPr>
                <w:ilvl w:val="0"/>
                <w:numId w:val="10"/>
              </w:numPr>
              <w:spacing w:line="276" w:lineRule="auto"/>
              <w:ind w:right="-1"/>
              <w:jc w:val="both"/>
              <w:rPr>
                <w:rFonts w:cs="Calibri"/>
                <w:sz w:val="24"/>
                <w:szCs w:val="24"/>
              </w:rPr>
            </w:pPr>
            <w:r w:rsidRPr="004703CE">
              <w:rPr>
                <w:rFonts w:cs="Calibri"/>
                <w:sz w:val="24"/>
                <w:szCs w:val="24"/>
              </w:rPr>
              <w:t xml:space="preserve">Nombre y datos de ubicación del PI, incluyendo una dirección electrónica que servirá de medio de contacto entre el CNBI y el investigador, </w:t>
            </w:r>
          </w:p>
          <w:p w14:paraId="76E8281E" w14:textId="77777777" w:rsidR="00173492" w:rsidRPr="004703CE" w:rsidRDefault="00173492" w:rsidP="004703CE">
            <w:pPr>
              <w:pStyle w:val="Sinespaciado"/>
              <w:numPr>
                <w:ilvl w:val="0"/>
                <w:numId w:val="10"/>
              </w:numPr>
              <w:spacing w:line="276" w:lineRule="auto"/>
              <w:ind w:right="-1"/>
              <w:jc w:val="both"/>
              <w:rPr>
                <w:rFonts w:cs="Calibri"/>
                <w:sz w:val="24"/>
                <w:szCs w:val="24"/>
              </w:rPr>
            </w:pPr>
            <w:r w:rsidRPr="004703CE">
              <w:rPr>
                <w:rFonts w:cs="Calibri"/>
                <w:sz w:val="24"/>
                <w:szCs w:val="24"/>
              </w:rPr>
              <w:t xml:space="preserve">Documentación que se presenta en el soporte digital, y </w:t>
            </w:r>
          </w:p>
          <w:p w14:paraId="4358059A" w14:textId="77777777" w:rsidR="00173492" w:rsidRPr="004703CE" w:rsidRDefault="00173492" w:rsidP="004703CE">
            <w:pPr>
              <w:pStyle w:val="Sinespaciado"/>
              <w:numPr>
                <w:ilvl w:val="0"/>
                <w:numId w:val="10"/>
              </w:numPr>
              <w:spacing w:line="276" w:lineRule="auto"/>
              <w:ind w:right="-1"/>
              <w:jc w:val="both"/>
              <w:rPr>
                <w:rFonts w:cs="Calibri"/>
                <w:sz w:val="24"/>
                <w:szCs w:val="24"/>
              </w:rPr>
            </w:pPr>
            <w:r w:rsidRPr="004703CE">
              <w:rPr>
                <w:rFonts w:cs="Calibri"/>
                <w:sz w:val="24"/>
                <w:szCs w:val="24"/>
              </w:rPr>
              <w:t>Justificación del por qué el estudio se realizará en el territorio nacional panameño.</w:t>
            </w:r>
          </w:p>
          <w:p w14:paraId="22DBC4C8" w14:textId="5E788384" w:rsidR="00173492" w:rsidRPr="004703CE" w:rsidRDefault="00173492" w:rsidP="004703CE">
            <w:pPr>
              <w:pStyle w:val="Sinespaciado"/>
              <w:numPr>
                <w:ilvl w:val="0"/>
                <w:numId w:val="21"/>
              </w:numPr>
              <w:spacing w:line="276" w:lineRule="auto"/>
              <w:ind w:right="-1"/>
              <w:jc w:val="both"/>
              <w:rPr>
                <w:rFonts w:cs="Calibri"/>
                <w:sz w:val="24"/>
                <w:szCs w:val="24"/>
              </w:rPr>
            </w:pPr>
            <w:r w:rsidRPr="004703CE">
              <w:rPr>
                <w:rFonts w:cs="Calibri"/>
                <w:sz w:val="24"/>
                <w:szCs w:val="24"/>
              </w:rPr>
              <w:t>El protocolo</w:t>
            </w:r>
            <w:r w:rsidR="000A014B" w:rsidRPr="004703CE">
              <w:rPr>
                <w:rFonts w:cs="Calibri"/>
                <w:sz w:val="24"/>
                <w:szCs w:val="24"/>
              </w:rPr>
              <w:t xml:space="preserve"> y los documentos de la solicitud</w:t>
            </w:r>
            <w:r w:rsidRPr="004703CE">
              <w:rPr>
                <w:rFonts w:cs="Calibri"/>
                <w:sz w:val="24"/>
                <w:szCs w:val="24"/>
              </w:rPr>
              <w:t xml:space="preserve"> deberá</w:t>
            </w:r>
            <w:r w:rsidR="000A014B" w:rsidRPr="004703CE">
              <w:rPr>
                <w:rFonts w:cs="Calibri"/>
                <w:sz w:val="24"/>
                <w:szCs w:val="24"/>
              </w:rPr>
              <w:t>n</w:t>
            </w:r>
            <w:r w:rsidRPr="004703CE">
              <w:rPr>
                <w:rFonts w:cs="Calibri"/>
                <w:sz w:val="24"/>
                <w:szCs w:val="24"/>
              </w:rPr>
              <w:t xml:space="preserve"> enviarse </w:t>
            </w:r>
            <w:r w:rsidR="00776921" w:rsidRPr="004703CE">
              <w:rPr>
                <w:rFonts w:cs="Calibri"/>
                <w:sz w:val="24"/>
                <w:szCs w:val="24"/>
              </w:rPr>
              <w:t xml:space="preserve">a </w:t>
            </w:r>
            <w:r w:rsidR="000A014B" w:rsidRPr="004703CE">
              <w:rPr>
                <w:rFonts w:cs="Calibri"/>
                <w:sz w:val="24"/>
                <w:szCs w:val="24"/>
              </w:rPr>
              <w:t xml:space="preserve">través de </w:t>
            </w:r>
            <w:r w:rsidR="00776921" w:rsidRPr="004703CE">
              <w:rPr>
                <w:rFonts w:cs="Calibri"/>
                <w:sz w:val="24"/>
                <w:szCs w:val="24"/>
              </w:rPr>
              <w:t>la plataforma ProEthos.</w:t>
            </w:r>
          </w:p>
          <w:p w14:paraId="6418EC58" w14:textId="08E479E9" w:rsidR="00173492" w:rsidRPr="004703CE" w:rsidRDefault="00173492" w:rsidP="004703CE">
            <w:pPr>
              <w:pStyle w:val="Sinespaciado"/>
              <w:numPr>
                <w:ilvl w:val="0"/>
                <w:numId w:val="21"/>
              </w:numPr>
              <w:spacing w:line="276" w:lineRule="auto"/>
              <w:ind w:right="-1"/>
              <w:jc w:val="both"/>
              <w:rPr>
                <w:rFonts w:cs="Calibri"/>
                <w:sz w:val="24"/>
                <w:szCs w:val="24"/>
              </w:rPr>
            </w:pPr>
            <w:r w:rsidRPr="004703CE">
              <w:rPr>
                <w:rFonts w:cs="Calibri"/>
                <w:sz w:val="24"/>
                <w:szCs w:val="24"/>
              </w:rPr>
              <w:t>Una vez recibido el protocolo, la Secretaría Técnica del CNBI verificará que éste tenga todos los elementos y cumpla con todos los requisitos descritos en la lista de verificación correspondiente. En caso de que haga falta algún elemento o requisito, el protocolo deberá ser completado por el Investigador Principal y sólo se dará por recibido cuando dicho trámite se haya surtido. El acuse de recibo se dará vía correo electrónico.</w:t>
            </w:r>
          </w:p>
          <w:p w14:paraId="2B2FD4F2" w14:textId="60ECA5F8" w:rsidR="00173492" w:rsidRPr="004703CE" w:rsidRDefault="00173492" w:rsidP="004703CE">
            <w:pPr>
              <w:pStyle w:val="Sinespaciado"/>
              <w:numPr>
                <w:ilvl w:val="0"/>
                <w:numId w:val="21"/>
              </w:numPr>
              <w:spacing w:line="276" w:lineRule="auto"/>
              <w:ind w:right="-1"/>
              <w:jc w:val="both"/>
              <w:rPr>
                <w:rFonts w:cs="Calibri"/>
                <w:sz w:val="24"/>
                <w:szCs w:val="24"/>
              </w:rPr>
            </w:pPr>
            <w:r w:rsidRPr="004703CE">
              <w:rPr>
                <w:rFonts w:cs="Calibri"/>
                <w:sz w:val="24"/>
                <w:szCs w:val="24"/>
              </w:rPr>
              <w:t>Una vez recibido el protocolo por la Secretaría Técnica, el Comité tendrá un plazo de hasta dos meses para responder a la solicitud; dicha solicitud podrá tener una respuesta a) aprobatoria, b) pendiente de cambios menores, o d) de negación de la solicitud.</w:t>
            </w:r>
          </w:p>
          <w:p w14:paraId="65090DBF" w14:textId="77F68F1A" w:rsidR="00173492" w:rsidRPr="004703CE" w:rsidRDefault="00173492" w:rsidP="004703CE">
            <w:pPr>
              <w:pStyle w:val="Sinespaciado"/>
              <w:numPr>
                <w:ilvl w:val="0"/>
                <w:numId w:val="21"/>
              </w:numPr>
              <w:spacing w:line="276" w:lineRule="auto"/>
              <w:ind w:right="113"/>
              <w:jc w:val="both"/>
              <w:rPr>
                <w:rFonts w:cs="Calibri"/>
                <w:sz w:val="24"/>
                <w:szCs w:val="24"/>
              </w:rPr>
            </w:pPr>
            <w:r w:rsidRPr="004703CE">
              <w:rPr>
                <w:rFonts w:cs="Calibri"/>
                <w:sz w:val="24"/>
                <w:szCs w:val="24"/>
              </w:rPr>
              <w:t>En caso de ser necesario, el Comité podrá convocar al Investigador Principal a una sesión ordinaria o extraordinaria del mismo, para que responda o aclare algunos aspectos relativos al estudio.</w:t>
            </w:r>
          </w:p>
          <w:p w14:paraId="27613D51" w14:textId="32670A48" w:rsidR="00173492" w:rsidRPr="004703CE" w:rsidRDefault="00173492" w:rsidP="004703CE">
            <w:pPr>
              <w:pStyle w:val="Sinespaciado"/>
              <w:numPr>
                <w:ilvl w:val="0"/>
                <w:numId w:val="21"/>
              </w:numPr>
              <w:spacing w:line="276" w:lineRule="auto"/>
              <w:ind w:right="-1"/>
              <w:jc w:val="both"/>
              <w:rPr>
                <w:rFonts w:cs="Calibri"/>
                <w:sz w:val="24"/>
                <w:szCs w:val="24"/>
              </w:rPr>
            </w:pPr>
            <w:r w:rsidRPr="004703CE">
              <w:rPr>
                <w:rFonts w:cs="Calibri"/>
                <w:sz w:val="24"/>
                <w:szCs w:val="24"/>
              </w:rPr>
              <w:t>El protocolo se aprobará mediante notificación vía correo electrónico y por medio de una carta física, dirigida al Investigador Principal, con el nombre de todos los investigadores aprobados para hacer parte del equipo del estudio, la cual, dado el caso, estará acompañada de una carta a la Dirección nacional de farmacias y drogas para el trámite de las importaciones correspondientes.</w:t>
            </w:r>
          </w:p>
          <w:p w14:paraId="587A199A" w14:textId="4C39DC59" w:rsidR="00173492" w:rsidRPr="004703CE" w:rsidRDefault="00173492" w:rsidP="004703CE">
            <w:pPr>
              <w:pStyle w:val="Sinespaciado"/>
              <w:numPr>
                <w:ilvl w:val="0"/>
                <w:numId w:val="21"/>
              </w:numPr>
              <w:spacing w:line="276" w:lineRule="auto"/>
              <w:ind w:right="-1"/>
              <w:jc w:val="both"/>
              <w:rPr>
                <w:rFonts w:cs="Calibri"/>
                <w:sz w:val="24"/>
                <w:szCs w:val="24"/>
              </w:rPr>
            </w:pPr>
            <w:r w:rsidRPr="004703CE">
              <w:rPr>
                <w:rFonts w:cs="Calibri"/>
                <w:sz w:val="24"/>
                <w:szCs w:val="24"/>
              </w:rPr>
              <w:t>Listado de los elementos mínimos que deberá contener todo protocolo presentado a la consideración del CNBI:</w:t>
            </w:r>
          </w:p>
          <w:p w14:paraId="5F35063B" w14:textId="607C3982"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 xml:space="preserve">Carta del investigador dirigida al </w:t>
            </w:r>
            <w:r w:rsidR="00257577" w:rsidRPr="004703CE">
              <w:rPr>
                <w:rFonts w:ascii="Calibri" w:hAnsi="Calibri" w:cs="Calibri"/>
                <w:color w:val="auto"/>
              </w:rPr>
              <w:t>presidente</w:t>
            </w:r>
            <w:r w:rsidRPr="004703CE">
              <w:rPr>
                <w:rFonts w:ascii="Calibri" w:hAnsi="Calibri" w:cs="Calibri"/>
                <w:color w:val="auto"/>
              </w:rPr>
              <w:t xml:space="preserve"> del CNBI. </w:t>
            </w:r>
          </w:p>
          <w:p w14:paraId="103CE4BF" w14:textId="5E7C446E"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 xml:space="preserve">Registro en RESEGIS </w:t>
            </w:r>
            <w:r w:rsidR="00E63768" w:rsidRPr="004703CE">
              <w:rPr>
                <w:rFonts w:ascii="Calibri" w:hAnsi="Calibri" w:cs="Calibri"/>
                <w:color w:val="auto"/>
              </w:rPr>
              <w:t>–</w:t>
            </w:r>
            <w:r w:rsidRPr="004703CE">
              <w:rPr>
                <w:rFonts w:ascii="Calibri" w:hAnsi="Calibri" w:cs="Calibri"/>
                <w:color w:val="auto"/>
              </w:rPr>
              <w:t xml:space="preserve"> MINSA</w:t>
            </w:r>
            <w:r w:rsidR="00E63768" w:rsidRPr="004703CE">
              <w:rPr>
                <w:rFonts w:ascii="Calibri" w:hAnsi="Calibri" w:cs="Calibri"/>
                <w:color w:val="auto"/>
              </w:rPr>
              <w:t>.</w:t>
            </w:r>
          </w:p>
          <w:p w14:paraId="0B2028AA" w14:textId="4F53CD59" w:rsidR="00173492" w:rsidRPr="004703CE" w:rsidRDefault="00173492" w:rsidP="004703CE">
            <w:pPr>
              <w:pStyle w:val="Prrafodelista"/>
              <w:numPr>
                <w:ilvl w:val="0"/>
                <w:numId w:val="12"/>
              </w:numPr>
              <w:jc w:val="both"/>
              <w:rPr>
                <w:rFonts w:cs="Calibri"/>
                <w:sz w:val="24"/>
                <w:szCs w:val="24"/>
                <w:lang w:val="es-PA"/>
              </w:rPr>
            </w:pPr>
            <w:r w:rsidRPr="004703CE">
              <w:rPr>
                <w:rFonts w:cs="Calibri"/>
                <w:sz w:val="24"/>
                <w:szCs w:val="24"/>
              </w:rPr>
              <w:lastRenderedPageBreak/>
              <w:t>La carta de aprobación de la(s) institución(es) donde se va a realizar la investigación, donde</w:t>
            </w:r>
            <w:r w:rsidRPr="004703CE">
              <w:rPr>
                <w:rFonts w:cs="Calibri"/>
                <w:sz w:val="24"/>
                <w:szCs w:val="24"/>
                <w:lang w:val="es-PA"/>
              </w:rPr>
              <w:t xml:space="preserve"> indique que se ajustará a las decisiones tomadas por este Comité de Bioética </w:t>
            </w:r>
            <w:r w:rsidR="00257577" w:rsidRPr="004703CE">
              <w:rPr>
                <w:rFonts w:cs="Calibri"/>
                <w:sz w:val="24"/>
                <w:szCs w:val="24"/>
                <w:lang w:val="es-PA"/>
              </w:rPr>
              <w:t>en relación con</w:t>
            </w:r>
            <w:r w:rsidRPr="004703CE">
              <w:rPr>
                <w:rFonts w:cs="Calibri"/>
                <w:sz w:val="24"/>
                <w:szCs w:val="24"/>
                <w:lang w:val="es-PA"/>
              </w:rPr>
              <w:t xml:space="preserve"> la realización del protocolo en su institución. </w:t>
            </w:r>
          </w:p>
          <w:p w14:paraId="6BC4BADA" w14:textId="77777777" w:rsidR="00173492" w:rsidRPr="004703CE" w:rsidRDefault="00173492" w:rsidP="004703CE">
            <w:pPr>
              <w:pStyle w:val="Prrafodelista"/>
              <w:numPr>
                <w:ilvl w:val="0"/>
                <w:numId w:val="12"/>
              </w:numPr>
              <w:jc w:val="both"/>
              <w:rPr>
                <w:rFonts w:cs="Calibri"/>
                <w:sz w:val="24"/>
                <w:szCs w:val="24"/>
                <w:lang w:val="es-PA"/>
              </w:rPr>
            </w:pPr>
            <w:r w:rsidRPr="004703CE">
              <w:rPr>
                <w:rFonts w:cs="Calibri"/>
                <w:sz w:val="24"/>
                <w:szCs w:val="24"/>
              </w:rPr>
              <w:t xml:space="preserve">En estudios patrocinados, incluir en el protocolo la información y documentación que vincule al patrocinador y/o al financiador con el estudio. </w:t>
            </w:r>
          </w:p>
          <w:p w14:paraId="754126C4" w14:textId="77777777" w:rsidR="00173492" w:rsidRPr="004703CE" w:rsidRDefault="00173492" w:rsidP="004703CE">
            <w:pPr>
              <w:pStyle w:val="Prrafodelista"/>
              <w:numPr>
                <w:ilvl w:val="0"/>
                <w:numId w:val="12"/>
              </w:numPr>
              <w:jc w:val="both"/>
              <w:rPr>
                <w:rFonts w:cs="Calibri"/>
                <w:sz w:val="24"/>
                <w:szCs w:val="24"/>
                <w:lang w:val="es-PA"/>
              </w:rPr>
            </w:pPr>
            <w:r w:rsidRPr="004703CE">
              <w:rPr>
                <w:rFonts w:cs="Calibri"/>
                <w:sz w:val="24"/>
                <w:szCs w:val="24"/>
              </w:rPr>
              <w:t>En estudios donde exista participación de una organización de investigación/administración por contrato, se debe incluir en el protocolo la información y documentación que vincule la organización con el estudio.</w:t>
            </w:r>
          </w:p>
          <w:p w14:paraId="5F792ADB" w14:textId="6943D45F"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Manual del investigador</w:t>
            </w:r>
            <w:r w:rsidR="00241F7D" w:rsidRPr="004703CE">
              <w:rPr>
                <w:rFonts w:ascii="Calibri" w:hAnsi="Calibri" w:cs="Calibri"/>
                <w:color w:val="auto"/>
              </w:rPr>
              <w:t>, Manual de Farmacia</w:t>
            </w:r>
            <w:r w:rsidRPr="004703CE">
              <w:rPr>
                <w:rFonts w:ascii="Calibri" w:hAnsi="Calibri" w:cs="Calibri"/>
                <w:color w:val="auto"/>
              </w:rPr>
              <w:t xml:space="preserve"> y/o Manual de Procedimientos del investigador. En español y en idioma original (en caso de estudios internacionales).</w:t>
            </w:r>
          </w:p>
          <w:p w14:paraId="466E04ED" w14:textId="77777777"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 xml:space="preserve">Protocolo firmado por el Investigador Principal. En español y en idioma original (en caso de estudios internacionales). </w:t>
            </w:r>
          </w:p>
          <w:p w14:paraId="05BFCB1F" w14:textId="77777777"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 xml:space="preserve">Justificación local del estudio. </w:t>
            </w:r>
          </w:p>
          <w:p w14:paraId="29E021A1" w14:textId="77777777"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Formulario de consentimiento informado (adultos y para padres o tutores) y si aplica, asentimiento (menores de edad y personas con discapacidad cognitiva o competencias limitadas), en español. Una descripción del proceso usado para obtener y documentar el consentimiento.</w:t>
            </w:r>
          </w:p>
          <w:p w14:paraId="1676EE44" w14:textId="77777777"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Material para los pacientes (diario, cuestionarios, formularios, tarjetas, etc.) en español.</w:t>
            </w:r>
          </w:p>
          <w:p w14:paraId="6B9F52D5" w14:textId="77777777"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 xml:space="preserve">Seguro de cobertura a sujetos vinculados al estudio. La compañía aseguradora debe estar establecida en Panamá y el tiempo de cobertura corresponder a la duración total de la investigación, con un monto acorde a los riesgos posibles.     </w:t>
            </w:r>
          </w:p>
          <w:p w14:paraId="5A39B50E" w14:textId="77777777"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 xml:space="preserve">Estrategias para el reclutamiento de los sujetos. Incluir material de reclutamiento para la captación de potenciales participantes. </w:t>
            </w:r>
          </w:p>
          <w:p w14:paraId="72E3C7B4" w14:textId="77777777"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Curriculum Vitae del Investigador principal y del equipo de investigación.</w:t>
            </w:r>
          </w:p>
          <w:p w14:paraId="27713AA1" w14:textId="3DAE4D78"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 xml:space="preserve">Certificados de capacitación en Buenas Prácticas Clínicas (BPC) de cada miembro del equipo de investigación que tenga contacto con los participantes o con sus datos. Los miembros del equipo que trabajarán exclusivamente en el procesamiento y análisis de las muestras decodificadas o anonimizadas en </w:t>
            </w:r>
            <w:r w:rsidR="005A5312" w:rsidRPr="004703CE">
              <w:rPr>
                <w:rFonts w:ascii="Calibri" w:hAnsi="Calibri" w:cs="Calibri"/>
                <w:color w:val="auto"/>
              </w:rPr>
              <w:t>laboratorio</w:t>
            </w:r>
            <w:r w:rsidRPr="004703CE">
              <w:rPr>
                <w:rFonts w:ascii="Calibri" w:hAnsi="Calibri" w:cs="Calibri"/>
                <w:color w:val="auto"/>
              </w:rPr>
              <w:t xml:space="preserve"> deben presentar únicamente el certificado de capacitación en Buenas Prácticas de Laboratorio (BPL).</w:t>
            </w:r>
          </w:p>
          <w:p w14:paraId="3DE2FE3E" w14:textId="77777777"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Certificado de Idoneidad de los investigadores (cuando aplica).</w:t>
            </w:r>
          </w:p>
          <w:p w14:paraId="48405C80" w14:textId="77777777"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 xml:space="preserve">Una declaración del compromiso del investigador principal y equipo de investigación para cumplir con los principios éticos propuestos en documentos y guías pertinentes y relevantes. </w:t>
            </w:r>
            <w:r w:rsidRPr="004703CE">
              <w:rPr>
                <w:rFonts w:ascii="Calibri" w:hAnsi="Calibri" w:cs="Calibri"/>
                <w:color w:val="auto"/>
              </w:rPr>
              <w:lastRenderedPageBreak/>
              <w:t xml:space="preserve">Declaración de Helsinki, CIOMS 2016 y Normas de Buenas Prácticas Clínicas. Normativa nacional Ley 84 de 14 de mayo de 2019 y Ley 68 de 20 de noviembre de 2003 y demás normativa pertinente. El procedimiento del cumplimiento de estos principios debe estar descrito en el protocolo. </w:t>
            </w:r>
          </w:p>
          <w:p w14:paraId="68297B61" w14:textId="77777777"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 xml:space="preserve">Presentación de carta/declaración de ausencia de conflictos de intereses: conflicto administrativo, conflicto financiero y conflicto personal; del Investigador Principal y del equipo de investigación. </w:t>
            </w:r>
          </w:p>
          <w:p w14:paraId="1A6F3320" w14:textId="77777777" w:rsidR="00173492" w:rsidRPr="004703CE" w:rsidRDefault="00173492"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 xml:space="preserve">Comprobante del pago al CNBI por la revisión del estudio, por un monto único de Mil quinientos ($ 1.500) dólares americanos. Se informará la cuenta a la que se debe realizar el depósito. </w:t>
            </w:r>
          </w:p>
          <w:p w14:paraId="3BD86BFF" w14:textId="77777777" w:rsidR="00511BBF" w:rsidRPr="004703CE" w:rsidRDefault="009C475D" w:rsidP="004703CE">
            <w:pPr>
              <w:pStyle w:val="Default"/>
              <w:numPr>
                <w:ilvl w:val="0"/>
                <w:numId w:val="12"/>
              </w:numPr>
              <w:spacing w:after="60" w:line="276" w:lineRule="auto"/>
              <w:jc w:val="both"/>
              <w:rPr>
                <w:rFonts w:ascii="Calibri" w:hAnsi="Calibri" w:cs="Calibri"/>
                <w:color w:val="auto"/>
              </w:rPr>
            </w:pPr>
            <w:r w:rsidRPr="004703CE">
              <w:rPr>
                <w:rFonts w:ascii="Calibri" w:hAnsi="Calibri" w:cs="Calibri"/>
                <w:color w:val="auto"/>
              </w:rPr>
              <w:t>Licencia vigente para investigación científica del cannabis</w:t>
            </w:r>
            <w:r w:rsidR="00511BBF" w:rsidRPr="004703CE">
              <w:rPr>
                <w:rFonts w:ascii="Calibri" w:hAnsi="Calibri" w:cs="Calibri"/>
                <w:color w:val="auto"/>
              </w:rPr>
              <w:t>.</w:t>
            </w:r>
          </w:p>
          <w:p w14:paraId="6F9AEC5B" w14:textId="60E8B454" w:rsidR="00173492" w:rsidRPr="004703CE" w:rsidRDefault="00257577" w:rsidP="004703CE">
            <w:pPr>
              <w:pStyle w:val="Default"/>
              <w:numPr>
                <w:ilvl w:val="0"/>
                <w:numId w:val="21"/>
              </w:numPr>
              <w:spacing w:after="60" w:line="276" w:lineRule="auto"/>
              <w:jc w:val="both"/>
              <w:rPr>
                <w:rFonts w:ascii="Calibri" w:hAnsi="Calibri" w:cs="Calibri"/>
                <w:color w:val="auto"/>
              </w:rPr>
            </w:pPr>
            <w:r w:rsidRPr="004703CE">
              <w:rPr>
                <w:rFonts w:ascii="Calibri" w:hAnsi="Calibri" w:cs="Calibri"/>
                <w:color w:val="auto"/>
              </w:rPr>
              <w:t>De acuerdo con</w:t>
            </w:r>
            <w:r w:rsidR="00173492" w:rsidRPr="004703CE">
              <w:rPr>
                <w:rFonts w:ascii="Calibri" w:hAnsi="Calibri" w:cs="Calibri"/>
                <w:color w:val="auto"/>
              </w:rPr>
              <w:t xml:space="preserve"> la política de </w:t>
            </w:r>
            <w:r w:rsidRPr="004703CE">
              <w:rPr>
                <w:rFonts w:ascii="Calibri" w:hAnsi="Calibri" w:cs="Calibri"/>
                <w:color w:val="auto"/>
              </w:rPr>
              <w:t>cero papeles</w:t>
            </w:r>
            <w:r w:rsidR="00173492" w:rsidRPr="004703CE">
              <w:rPr>
                <w:rFonts w:ascii="Calibri" w:hAnsi="Calibri" w:cs="Calibri"/>
                <w:color w:val="auto"/>
              </w:rPr>
              <w:t xml:space="preserve"> “</w:t>
            </w:r>
            <w:r w:rsidR="00BB3B28" w:rsidRPr="004703CE">
              <w:rPr>
                <w:rFonts w:ascii="Calibri" w:hAnsi="Calibri" w:cs="Calibri"/>
                <w:i/>
                <w:color w:val="auto"/>
              </w:rPr>
              <w:t>de acuerdo con</w:t>
            </w:r>
            <w:r w:rsidR="00173492" w:rsidRPr="004703CE">
              <w:rPr>
                <w:rFonts w:ascii="Calibri" w:hAnsi="Calibri" w:cs="Calibri"/>
                <w:i/>
                <w:color w:val="auto"/>
              </w:rPr>
              <w:t xml:space="preserve"> los lineamientos nacionales en la materia</w:t>
            </w:r>
            <w:r w:rsidR="00173492" w:rsidRPr="004703CE">
              <w:rPr>
                <w:rFonts w:ascii="Calibri" w:hAnsi="Calibri" w:cs="Calibri"/>
                <w:bCs/>
                <w:i/>
                <w:color w:val="auto"/>
              </w:rPr>
              <w:t>. En dicha política se incluyen los textos de los protocolos de investigación. Los cuales se presentarán a la evaluación de los comités en formato digital exclusivamente, y se exceptúan los siguientes documentos”:</w:t>
            </w:r>
          </w:p>
          <w:p w14:paraId="48C57A34" w14:textId="55DCF26A" w:rsidR="00173492" w:rsidRPr="006D572A" w:rsidRDefault="00173492" w:rsidP="004703CE">
            <w:pPr>
              <w:pStyle w:val="Default"/>
              <w:numPr>
                <w:ilvl w:val="0"/>
                <w:numId w:val="18"/>
              </w:numPr>
              <w:spacing w:after="60" w:line="276" w:lineRule="auto"/>
              <w:jc w:val="both"/>
              <w:rPr>
                <w:rFonts w:ascii="Calibri" w:hAnsi="Calibri" w:cs="Calibri"/>
                <w:color w:val="auto"/>
              </w:rPr>
            </w:pPr>
            <w:r w:rsidRPr="004703CE">
              <w:rPr>
                <w:rFonts w:ascii="Calibri" w:hAnsi="Calibri" w:cs="Calibri"/>
                <w:color w:val="auto"/>
              </w:rPr>
              <w:t>Comprobante del pago al CNBI por la revisión del estudio (cuando aplique</w:t>
            </w:r>
            <w:proofErr w:type="gramStart"/>
            <w:r w:rsidRPr="004703CE">
              <w:rPr>
                <w:rFonts w:ascii="Calibri" w:hAnsi="Calibri" w:cs="Calibri"/>
                <w:color w:val="auto"/>
              </w:rPr>
              <w:t>).</w:t>
            </w:r>
            <w:r w:rsidR="00E63768" w:rsidRPr="004703CE">
              <w:rPr>
                <w:rFonts w:ascii="Calibri" w:hAnsi="Calibri" w:cs="Calibri"/>
                <w:color w:val="auto"/>
              </w:rPr>
              <w:t>*</w:t>
            </w:r>
            <w:proofErr w:type="gramEnd"/>
          </w:p>
          <w:p w14:paraId="5AEE0869" w14:textId="77777777" w:rsidR="00173492" w:rsidRPr="004703CE" w:rsidRDefault="00173492" w:rsidP="004703CE">
            <w:pPr>
              <w:pStyle w:val="Default"/>
              <w:spacing w:after="60" w:line="276" w:lineRule="auto"/>
              <w:jc w:val="both"/>
              <w:rPr>
                <w:rFonts w:ascii="Calibri" w:hAnsi="Calibri" w:cs="Calibri"/>
                <w:color w:val="auto"/>
              </w:rPr>
            </w:pPr>
            <w:r w:rsidRPr="004703CE">
              <w:rPr>
                <w:rFonts w:ascii="Calibri" w:hAnsi="Calibri" w:cs="Calibri"/>
                <w:color w:val="auto"/>
              </w:rPr>
              <w:t>*Únicamente estos documentos deben entregarse de forma física al momento de presentar los protocolos.</w:t>
            </w:r>
          </w:p>
          <w:p w14:paraId="770040F4" w14:textId="672150CB" w:rsidR="00173492" w:rsidRPr="004703CE" w:rsidRDefault="00173492" w:rsidP="004703CE">
            <w:pPr>
              <w:jc w:val="both"/>
              <w:rPr>
                <w:rFonts w:cs="Calibri"/>
                <w:sz w:val="24"/>
                <w:szCs w:val="24"/>
              </w:rPr>
            </w:pPr>
            <w:r w:rsidRPr="004703CE">
              <w:rPr>
                <w:rFonts w:cs="Calibri"/>
                <w:sz w:val="24"/>
                <w:szCs w:val="24"/>
              </w:rPr>
              <w:t>Cada uno de los documentos antes mencionados, deberá adjuntarse en un archivo digital</w:t>
            </w:r>
            <w:r w:rsidR="00250E18" w:rsidRPr="004703CE">
              <w:rPr>
                <w:rFonts w:cs="Calibri"/>
                <w:sz w:val="24"/>
                <w:szCs w:val="24"/>
              </w:rPr>
              <w:t xml:space="preserve"> </w:t>
            </w:r>
            <w:r w:rsidRPr="004703CE">
              <w:rPr>
                <w:rFonts w:cs="Calibri"/>
                <w:sz w:val="24"/>
                <w:szCs w:val="24"/>
              </w:rPr>
              <w:t>independiente con la correspondiente numeración.</w:t>
            </w:r>
          </w:p>
        </w:tc>
      </w:tr>
      <w:tr w:rsidR="00173492" w:rsidRPr="00636478" w14:paraId="5BE66E4A" w14:textId="77777777" w:rsidTr="0017349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207" w:type="dxa"/>
            <w:gridSpan w:val="2"/>
            <w:tcBorders>
              <w:bottom w:val="dotted" w:sz="4" w:space="0" w:color="auto"/>
            </w:tcBorders>
          </w:tcPr>
          <w:p w14:paraId="73068342" w14:textId="34829A10" w:rsidR="00173492" w:rsidRPr="00F726A5" w:rsidRDefault="00173492" w:rsidP="00386F24">
            <w:pPr>
              <w:jc w:val="both"/>
              <w:rPr>
                <w:rFonts w:cs="Calibri"/>
                <w:b/>
                <w:sz w:val="24"/>
                <w:szCs w:val="24"/>
              </w:rPr>
            </w:pPr>
          </w:p>
        </w:tc>
      </w:tr>
    </w:tbl>
    <w:p w14:paraId="3221FBB4" w14:textId="77777777" w:rsidR="00F01087" w:rsidRPr="00636478" w:rsidRDefault="00F01087" w:rsidP="00386F24">
      <w:pPr>
        <w:pStyle w:val="Sinespaciado"/>
        <w:spacing w:line="276" w:lineRule="auto"/>
        <w:jc w:val="both"/>
        <w:rPr>
          <w:rFonts w:cs="Calibri"/>
          <w:sz w:val="24"/>
          <w:szCs w:val="24"/>
        </w:rPr>
      </w:pPr>
    </w:p>
    <w:sectPr w:rsidR="00F01087" w:rsidRPr="00636478" w:rsidSect="00BB109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C4CB9" w14:textId="77777777" w:rsidR="002C6E8D" w:rsidRDefault="002C6E8D" w:rsidP="00FB51EF">
      <w:pPr>
        <w:spacing w:after="0" w:line="240" w:lineRule="auto"/>
      </w:pPr>
      <w:r>
        <w:separator/>
      </w:r>
    </w:p>
  </w:endnote>
  <w:endnote w:type="continuationSeparator" w:id="0">
    <w:p w14:paraId="54E5283C" w14:textId="77777777" w:rsidR="002C6E8D" w:rsidRDefault="002C6E8D" w:rsidP="00FB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3D43" w14:textId="6BBB32D8" w:rsidR="00F417AA" w:rsidRDefault="00F417A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39456C">
      <w:rPr>
        <w:b/>
        <w:noProof/>
      </w:rPr>
      <w:t>4</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9456C">
      <w:rPr>
        <w:b/>
        <w:noProof/>
      </w:rPr>
      <w:t>4</w:t>
    </w:r>
    <w:r>
      <w:rPr>
        <w:b/>
        <w:sz w:val="24"/>
        <w:szCs w:val="24"/>
      </w:rPr>
      <w:fldChar w:fldCharType="end"/>
    </w:r>
  </w:p>
  <w:p w14:paraId="2FAEF0A2" w14:textId="77777777" w:rsidR="00F417AA" w:rsidRDefault="00F417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9A8C4" w14:textId="77777777" w:rsidR="002C6E8D" w:rsidRDefault="002C6E8D" w:rsidP="00FB51EF">
      <w:pPr>
        <w:spacing w:after="0" w:line="240" w:lineRule="auto"/>
      </w:pPr>
      <w:r>
        <w:separator/>
      </w:r>
    </w:p>
  </w:footnote>
  <w:footnote w:type="continuationSeparator" w:id="0">
    <w:p w14:paraId="3AB7F390" w14:textId="77777777" w:rsidR="002C6E8D" w:rsidRDefault="002C6E8D" w:rsidP="00FB5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1A88" w14:textId="77777777" w:rsidR="00F417AA" w:rsidRDefault="00F417AA">
    <w:pPr>
      <w:pStyle w:val="Encabezado"/>
    </w:pPr>
  </w:p>
  <w:tbl>
    <w:tblPr>
      <w:tblW w:w="10263" w:type="dxa"/>
      <w:tblInd w:w="-8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1"/>
      <w:gridCol w:w="6302"/>
    </w:tblGrid>
    <w:tr w:rsidR="00F417AA" w14:paraId="002EACF7" w14:textId="77777777" w:rsidTr="00CD1EE1">
      <w:trPr>
        <w:trHeight w:val="564"/>
      </w:trPr>
      <w:tc>
        <w:tcPr>
          <w:tcW w:w="3961" w:type="dxa"/>
          <w:tcBorders>
            <w:top w:val="dotted" w:sz="4" w:space="0" w:color="auto"/>
            <w:left w:val="dotted" w:sz="4" w:space="0" w:color="auto"/>
            <w:bottom w:val="dotted" w:sz="4" w:space="0" w:color="auto"/>
            <w:right w:val="dotted" w:sz="4" w:space="0" w:color="auto"/>
          </w:tcBorders>
          <w:vAlign w:val="center"/>
          <w:hideMark/>
        </w:tcPr>
        <w:p w14:paraId="44CF902C" w14:textId="77777777" w:rsidR="00F417AA" w:rsidRPr="00212FB7" w:rsidRDefault="00F417AA" w:rsidP="00CD1EE1">
          <w:pPr>
            <w:pStyle w:val="Piedepgina"/>
            <w:contextualSpacing/>
            <w:rPr>
              <w:rFonts w:ascii="Arial" w:hAnsi="Arial" w:cs="Arial"/>
              <w:b/>
              <w:noProof/>
              <w:sz w:val="16"/>
              <w:lang w:eastAsia="es-MX"/>
            </w:rPr>
          </w:pPr>
          <w:r>
            <w:rPr>
              <w:noProof/>
              <w:lang w:val="es-PA" w:eastAsia="es-PA"/>
            </w:rPr>
            <w:drawing>
              <wp:anchor distT="0" distB="0" distL="114300" distR="114300" simplePos="0" relativeHeight="251657728" behindDoc="0" locked="0" layoutInCell="1" allowOverlap="1" wp14:anchorId="233B103F" wp14:editId="2BEB0BAB">
                <wp:simplePos x="0" y="0"/>
                <wp:positionH relativeFrom="column">
                  <wp:posOffset>520065</wp:posOffset>
                </wp:positionH>
                <wp:positionV relativeFrom="paragraph">
                  <wp:posOffset>15875</wp:posOffset>
                </wp:positionV>
                <wp:extent cx="1247775" cy="605790"/>
                <wp:effectExtent l="0" t="0" r="0" b="0"/>
                <wp:wrapNone/>
                <wp:docPr id="2" name="0 Imagen" descr="logo CN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NB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057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16"/>
              <w:lang w:val="es-PA" w:eastAsia="es-PA"/>
            </w:rPr>
            <w:t xml:space="preserve">       </w:t>
          </w:r>
        </w:p>
      </w:tc>
      <w:tc>
        <w:tcPr>
          <w:tcW w:w="6302" w:type="dxa"/>
          <w:tcBorders>
            <w:top w:val="dotted" w:sz="4" w:space="0" w:color="auto"/>
            <w:left w:val="dotted" w:sz="4" w:space="0" w:color="auto"/>
            <w:bottom w:val="dotted" w:sz="4" w:space="0" w:color="auto"/>
            <w:right w:val="dotted" w:sz="4" w:space="0" w:color="auto"/>
          </w:tcBorders>
        </w:tcPr>
        <w:p w14:paraId="69DACDBC" w14:textId="77777777" w:rsidR="00F417AA" w:rsidRPr="002256D0" w:rsidRDefault="00F417AA" w:rsidP="007D124D">
          <w:pPr>
            <w:pStyle w:val="Piedepgina"/>
            <w:ind w:left="720"/>
            <w:contextualSpacing/>
            <w:jc w:val="center"/>
            <w:rPr>
              <w:rFonts w:cs="Calibri"/>
              <w:b/>
              <w:sz w:val="24"/>
              <w:szCs w:val="24"/>
            </w:rPr>
          </w:pPr>
        </w:p>
        <w:p w14:paraId="2CD84729" w14:textId="32FA8D46" w:rsidR="00F417AA" w:rsidRPr="002256D0" w:rsidRDefault="00F417AA" w:rsidP="00367560">
          <w:pPr>
            <w:pStyle w:val="Piedepgina"/>
            <w:contextualSpacing/>
            <w:rPr>
              <w:rFonts w:cs="Calibri"/>
              <w:b/>
              <w:noProof/>
              <w:sz w:val="24"/>
              <w:szCs w:val="24"/>
              <w:lang w:eastAsia="es-MX"/>
            </w:rPr>
          </w:pPr>
          <w:r w:rsidRPr="002256D0">
            <w:rPr>
              <w:rFonts w:cs="Calibri"/>
              <w:b/>
              <w:sz w:val="24"/>
              <w:szCs w:val="24"/>
            </w:rPr>
            <w:t>Comité Nacional de Bioética de la Investigación de Panamá</w:t>
          </w:r>
        </w:p>
      </w:tc>
    </w:tr>
    <w:tr w:rsidR="00F417AA" w:rsidRPr="00061319" w14:paraId="082DCCC8" w14:textId="77777777" w:rsidTr="00061319">
      <w:trPr>
        <w:trHeight w:val="564"/>
      </w:trPr>
      <w:tc>
        <w:tcPr>
          <w:tcW w:w="3961" w:type="dxa"/>
          <w:tcBorders>
            <w:top w:val="dotted" w:sz="4" w:space="0" w:color="auto"/>
            <w:left w:val="dotted" w:sz="4" w:space="0" w:color="auto"/>
            <w:bottom w:val="dotted" w:sz="4" w:space="0" w:color="auto"/>
            <w:right w:val="dotted" w:sz="4" w:space="0" w:color="auto"/>
          </w:tcBorders>
          <w:shd w:val="clear" w:color="auto" w:fill="C2D69B"/>
          <w:vAlign w:val="center"/>
          <w:hideMark/>
        </w:tcPr>
        <w:p w14:paraId="19AE34A2" w14:textId="195511EF" w:rsidR="00F417AA" w:rsidRPr="00061319" w:rsidRDefault="00F417AA" w:rsidP="00CD1EE1">
          <w:pPr>
            <w:pStyle w:val="Piedepgina"/>
            <w:contextualSpacing/>
            <w:rPr>
              <w:rFonts w:cs="Calibri"/>
              <w:b/>
              <w:sz w:val="24"/>
              <w:szCs w:val="24"/>
            </w:rPr>
          </w:pPr>
          <w:r w:rsidRPr="00061319">
            <w:rPr>
              <w:rFonts w:cs="Calibri"/>
              <w:b/>
              <w:sz w:val="24"/>
              <w:szCs w:val="24"/>
            </w:rPr>
            <w:t>Código: PO-0</w:t>
          </w:r>
          <w:r w:rsidR="00C743A8">
            <w:rPr>
              <w:rFonts w:cs="Calibri"/>
              <w:b/>
              <w:sz w:val="24"/>
              <w:szCs w:val="24"/>
            </w:rPr>
            <w:t>30</w:t>
          </w:r>
        </w:p>
      </w:tc>
      <w:tc>
        <w:tcPr>
          <w:tcW w:w="6302" w:type="dxa"/>
          <w:tcBorders>
            <w:top w:val="dotted" w:sz="4" w:space="0" w:color="auto"/>
            <w:left w:val="dotted" w:sz="4" w:space="0" w:color="auto"/>
            <w:bottom w:val="dotted" w:sz="4" w:space="0" w:color="auto"/>
            <w:right w:val="dotted" w:sz="4" w:space="0" w:color="auto"/>
          </w:tcBorders>
          <w:vAlign w:val="center"/>
          <w:hideMark/>
        </w:tcPr>
        <w:p w14:paraId="4B25E778" w14:textId="3AF69A5E" w:rsidR="00F417AA" w:rsidRPr="00061319" w:rsidRDefault="00F417AA" w:rsidP="00367560">
          <w:pPr>
            <w:spacing w:line="240" w:lineRule="auto"/>
            <w:jc w:val="both"/>
            <w:rPr>
              <w:rFonts w:cs="Calibri"/>
              <w:b/>
              <w:sz w:val="24"/>
              <w:szCs w:val="24"/>
            </w:rPr>
          </w:pPr>
          <w:r w:rsidRPr="00061319">
            <w:rPr>
              <w:rFonts w:cs="Calibri"/>
              <w:b/>
              <w:sz w:val="24"/>
              <w:szCs w:val="24"/>
            </w:rPr>
            <w:t xml:space="preserve">Título: Procedimiento </w:t>
          </w:r>
          <w:r w:rsidR="00367560">
            <w:rPr>
              <w:rFonts w:cs="Calibri"/>
              <w:b/>
              <w:sz w:val="24"/>
              <w:szCs w:val="24"/>
            </w:rPr>
            <w:t xml:space="preserve">operativo estándar </w:t>
          </w:r>
          <w:r w:rsidRPr="00061319">
            <w:rPr>
              <w:rFonts w:cs="Calibri"/>
              <w:b/>
              <w:sz w:val="24"/>
              <w:szCs w:val="24"/>
            </w:rPr>
            <w:t>para la presentación de protocolos ante el Comité Nacional de Bioética de la Investigación</w:t>
          </w:r>
          <w:r w:rsidR="00367560">
            <w:rPr>
              <w:rFonts w:cs="Calibri"/>
              <w:b/>
              <w:sz w:val="24"/>
              <w:szCs w:val="24"/>
            </w:rPr>
            <w:t xml:space="preserve">, en relación con </w:t>
          </w:r>
          <w:r w:rsidR="00367560" w:rsidRPr="00367560">
            <w:rPr>
              <w:rFonts w:cs="Calibri"/>
              <w:b/>
              <w:sz w:val="24"/>
              <w:szCs w:val="24"/>
            </w:rPr>
            <w:t>la investigación en seres humanos con Cannabis medicinal y sus derivados.</w:t>
          </w:r>
        </w:p>
      </w:tc>
    </w:tr>
    <w:tr w:rsidR="00F417AA" w14:paraId="27D3EDA6" w14:textId="77777777" w:rsidTr="00061319">
      <w:trPr>
        <w:trHeight w:val="564"/>
      </w:trPr>
      <w:tc>
        <w:tcPr>
          <w:tcW w:w="3961" w:type="dxa"/>
          <w:tcBorders>
            <w:top w:val="dotted" w:sz="4" w:space="0" w:color="auto"/>
            <w:left w:val="dotted" w:sz="4" w:space="0" w:color="auto"/>
            <w:bottom w:val="dotted" w:sz="4" w:space="0" w:color="auto"/>
            <w:right w:val="dotted" w:sz="4" w:space="0" w:color="auto"/>
          </w:tcBorders>
          <w:shd w:val="clear" w:color="auto" w:fill="C2D69B"/>
          <w:vAlign w:val="center"/>
        </w:tcPr>
        <w:p w14:paraId="6015C6B5" w14:textId="499B7FD3" w:rsidR="00F417AA" w:rsidRPr="002256D0" w:rsidRDefault="00240324" w:rsidP="00CD1EE1">
          <w:pPr>
            <w:pStyle w:val="Piedepgina"/>
            <w:contextualSpacing/>
            <w:rPr>
              <w:rFonts w:cs="Calibri"/>
              <w:b/>
              <w:sz w:val="24"/>
              <w:szCs w:val="24"/>
            </w:rPr>
          </w:pPr>
          <w:r>
            <w:rPr>
              <w:rFonts w:cs="Calibri"/>
              <w:b/>
              <w:sz w:val="24"/>
              <w:szCs w:val="24"/>
            </w:rPr>
            <w:t>Versión: 1</w:t>
          </w:r>
          <w:r w:rsidR="005327CA">
            <w:rPr>
              <w:rFonts w:cs="Calibri"/>
              <w:b/>
              <w:sz w:val="24"/>
              <w:szCs w:val="24"/>
            </w:rPr>
            <w:t>.0</w:t>
          </w:r>
        </w:p>
      </w:tc>
      <w:tc>
        <w:tcPr>
          <w:tcW w:w="6302" w:type="dxa"/>
          <w:tcBorders>
            <w:top w:val="dotted" w:sz="4" w:space="0" w:color="auto"/>
            <w:left w:val="dotted" w:sz="4" w:space="0" w:color="auto"/>
            <w:bottom w:val="dotted" w:sz="4" w:space="0" w:color="auto"/>
            <w:right w:val="dotted" w:sz="4" w:space="0" w:color="auto"/>
          </w:tcBorders>
          <w:vAlign w:val="center"/>
        </w:tcPr>
        <w:p w14:paraId="3E74F47B" w14:textId="4435124E" w:rsidR="00F417AA" w:rsidRPr="002256D0" w:rsidRDefault="00F417AA" w:rsidP="007D124D">
          <w:pPr>
            <w:spacing w:line="240" w:lineRule="auto"/>
            <w:rPr>
              <w:rFonts w:cs="Calibri"/>
              <w:sz w:val="24"/>
              <w:szCs w:val="24"/>
            </w:rPr>
          </w:pPr>
          <w:r w:rsidRPr="002256D0">
            <w:rPr>
              <w:rFonts w:cs="Calibri"/>
              <w:sz w:val="24"/>
              <w:szCs w:val="24"/>
            </w:rPr>
            <w:t xml:space="preserve">Fecha: </w:t>
          </w:r>
          <w:r w:rsidR="00873F56">
            <w:rPr>
              <w:rFonts w:cs="Calibri"/>
              <w:sz w:val="24"/>
              <w:szCs w:val="24"/>
            </w:rPr>
            <w:t xml:space="preserve">junio </w:t>
          </w:r>
          <w:r>
            <w:rPr>
              <w:rFonts w:cs="Calibri"/>
              <w:sz w:val="24"/>
              <w:szCs w:val="24"/>
            </w:rPr>
            <w:t>202</w:t>
          </w:r>
          <w:r w:rsidR="00367560">
            <w:rPr>
              <w:rFonts w:cs="Calibri"/>
              <w:sz w:val="24"/>
              <w:szCs w:val="24"/>
            </w:rPr>
            <w:t>5</w:t>
          </w:r>
        </w:p>
      </w:tc>
    </w:tr>
  </w:tbl>
  <w:p w14:paraId="0850C06A" w14:textId="77777777" w:rsidR="00F417AA" w:rsidRDefault="00F417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ADA9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B5098"/>
    <w:multiLevelType w:val="hybridMultilevel"/>
    <w:tmpl w:val="2370C862"/>
    <w:lvl w:ilvl="0" w:tplc="180A0017">
      <w:start w:val="1"/>
      <w:numFmt w:val="lowerLetter"/>
      <w:lvlText w:val="%1)"/>
      <w:lvlJc w:val="left"/>
      <w:pPr>
        <w:ind w:left="720" w:hanging="360"/>
      </w:pPr>
    </w:lvl>
    <w:lvl w:ilvl="1" w:tplc="180A0001">
      <w:start w:val="1"/>
      <w:numFmt w:val="bullet"/>
      <w:lvlText w:val=""/>
      <w:lvlJc w:val="left"/>
      <w:pPr>
        <w:ind w:left="1440" w:hanging="360"/>
      </w:pPr>
      <w:rPr>
        <w:rFonts w:ascii="Symbol" w:hAnsi="Symbol"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7FE5D46"/>
    <w:multiLevelType w:val="hybridMultilevel"/>
    <w:tmpl w:val="2C320244"/>
    <w:lvl w:ilvl="0" w:tplc="180A0017">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11A053F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FA38F8"/>
    <w:multiLevelType w:val="multilevel"/>
    <w:tmpl w:val="A58A381C"/>
    <w:lvl w:ilvl="0">
      <w:start w:val="1"/>
      <w:numFmt w:val="decimal"/>
      <w:lvlText w:val="%1."/>
      <w:lvlJc w:val="left"/>
      <w:pPr>
        <w:ind w:left="720" w:hanging="360"/>
      </w:p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C441546"/>
    <w:multiLevelType w:val="hybridMultilevel"/>
    <w:tmpl w:val="B42459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AD0A50"/>
    <w:multiLevelType w:val="multilevel"/>
    <w:tmpl w:val="AF0C0B64"/>
    <w:lvl w:ilvl="0">
      <w:start w:val="8"/>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7" w15:restartNumberingAfterBreak="0">
    <w:nsid w:val="2F0A4DCC"/>
    <w:multiLevelType w:val="multilevel"/>
    <w:tmpl w:val="E05E07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68540B3"/>
    <w:multiLevelType w:val="hybridMultilevel"/>
    <w:tmpl w:val="CA0A69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877DD8"/>
    <w:multiLevelType w:val="hybridMultilevel"/>
    <w:tmpl w:val="1A8CEE84"/>
    <w:lvl w:ilvl="0" w:tplc="67F4838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A82118A"/>
    <w:multiLevelType w:val="hybridMultilevel"/>
    <w:tmpl w:val="0AC46C4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EC404F"/>
    <w:multiLevelType w:val="hybridMultilevel"/>
    <w:tmpl w:val="B5D2DD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D47CA2"/>
    <w:multiLevelType w:val="hybridMultilevel"/>
    <w:tmpl w:val="6A3C1E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E468D3"/>
    <w:multiLevelType w:val="hybridMultilevel"/>
    <w:tmpl w:val="5F7EDBE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410700"/>
    <w:multiLevelType w:val="multilevel"/>
    <w:tmpl w:val="E05E07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15A7D0E"/>
    <w:multiLevelType w:val="hybridMultilevel"/>
    <w:tmpl w:val="73ECADF4"/>
    <w:lvl w:ilvl="0" w:tplc="3790F794">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BB2A61"/>
    <w:multiLevelType w:val="hybridMultilevel"/>
    <w:tmpl w:val="332432C6"/>
    <w:lvl w:ilvl="0" w:tplc="3C7A84A4">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EB240D"/>
    <w:multiLevelType w:val="hybridMultilevel"/>
    <w:tmpl w:val="00F2AFB2"/>
    <w:lvl w:ilvl="0" w:tplc="0C0A000F">
      <w:start w:val="1"/>
      <w:numFmt w:val="decimal"/>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8551BFE"/>
    <w:multiLevelType w:val="hybridMultilevel"/>
    <w:tmpl w:val="30546FEA"/>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7B4B3C1C"/>
    <w:multiLevelType w:val="hybridMultilevel"/>
    <w:tmpl w:val="52781B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86299A"/>
    <w:multiLevelType w:val="hybridMultilevel"/>
    <w:tmpl w:val="90FEFE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65582599">
    <w:abstractNumId w:val="17"/>
  </w:num>
  <w:num w:numId="2" w16cid:durableId="1748529297">
    <w:abstractNumId w:val="8"/>
  </w:num>
  <w:num w:numId="3" w16cid:durableId="1635521091">
    <w:abstractNumId w:val="20"/>
  </w:num>
  <w:num w:numId="4" w16cid:durableId="873930909">
    <w:abstractNumId w:val="7"/>
  </w:num>
  <w:num w:numId="5" w16cid:durableId="953248675">
    <w:abstractNumId w:val="19"/>
  </w:num>
  <w:num w:numId="6" w16cid:durableId="827790416">
    <w:abstractNumId w:val="15"/>
  </w:num>
  <w:num w:numId="7" w16cid:durableId="590821006">
    <w:abstractNumId w:val="6"/>
  </w:num>
  <w:num w:numId="8" w16cid:durableId="1116287427">
    <w:abstractNumId w:val="11"/>
  </w:num>
  <w:num w:numId="9" w16cid:durableId="1524203406">
    <w:abstractNumId w:val="0"/>
  </w:num>
  <w:num w:numId="10" w16cid:durableId="1323966016">
    <w:abstractNumId w:val="12"/>
  </w:num>
  <w:num w:numId="11" w16cid:durableId="1879395952">
    <w:abstractNumId w:val="18"/>
  </w:num>
  <w:num w:numId="12" w16cid:durableId="207112732">
    <w:abstractNumId w:val="2"/>
  </w:num>
  <w:num w:numId="13" w16cid:durableId="377554755">
    <w:abstractNumId w:val="4"/>
  </w:num>
  <w:num w:numId="14" w16cid:durableId="534076827">
    <w:abstractNumId w:val="1"/>
  </w:num>
  <w:num w:numId="15" w16cid:durableId="289210396">
    <w:abstractNumId w:val="7"/>
  </w:num>
  <w:num w:numId="16" w16cid:durableId="2130123645">
    <w:abstractNumId w:val="3"/>
  </w:num>
  <w:num w:numId="17" w16cid:durableId="1958297048">
    <w:abstractNumId w:val="9"/>
  </w:num>
  <w:num w:numId="18" w16cid:durableId="1286423653">
    <w:abstractNumId w:val="5"/>
  </w:num>
  <w:num w:numId="19" w16cid:durableId="1194733561">
    <w:abstractNumId w:val="14"/>
  </w:num>
  <w:num w:numId="20" w16cid:durableId="1931154179">
    <w:abstractNumId w:val="10"/>
  </w:num>
  <w:num w:numId="21" w16cid:durableId="1649246114">
    <w:abstractNumId w:val="13"/>
  </w:num>
  <w:num w:numId="22" w16cid:durableId="10300368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BED"/>
    <w:rsid w:val="000204EE"/>
    <w:rsid w:val="00061319"/>
    <w:rsid w:val="0006698B"/>
    <w:rsid w:val="0009181C"/>
    <w:rsid w:val="00095E56"/>
    <w:rsid w:val="000A014B"/>
    <w:rsid w:val="000B0445"/>
    <w:rsid w:val="000B74BF"/>
    <w:rsid w:val="000C184D"/>
    <w:rsid w:val="000E3A59"/>
    <w:rsid w:val="000F163D"/>
    <w:rsid w:val="000F1E10"/>
    <w:rsid w:val="000F3D7A"/>
    <w:rsid w:val="00120D52"/>
    <w:rsid w:val="001325B0"/>
    <w:rsid w:val="00144F5D"/>
    <w:rsid w:val="001546A1"/>
    <w:rsid w:val="00154946"/>
    <w:rsid w:val="00157866"/>
    <w:rsid w:val="0017127E"/>
    <w:rsid w:val="00171D74"/>
    <w:rsid w:val="00173492"/>
    <w:rsid w:val="00180F8A"/>
    <w:rsid w:val="001A25B8"/>
    <w:rsid w:val="001E4CD4"/>
    <w:rsid w:val="001E4F85"/>
    <w:rsid w:val="001F2F68"/>
    <w:rsid w:val="00204E52"/>
    <w:rsid w:val="002113F6"/>
    <w:rsid w:val="00212FB7"/>
    <w:rsid w:val="00213BD1"/>
    <w:rsid w:val="002256D0"/>
    <w:rsid w:val="00227090"/>
    <w:rsid w:val="00240324"/>
    <w:rsid w:val="002410BF"/>
    <w:rsid w:val="00241F7D"/>
    <w:rsid w:val="00250E18"/>
    <w:rsid w:val="00257577"/>
    <w:rsid w:val="00297094"/>
    <w:rsid w:val="002C6E8D"/>
    <w:rsid w:val="003000F5"/>
    <w:rsid w:val="00302F9E"/>
    <w:rsid w:val="003309D7"/>
    <w:rsid w:val="00367560"/>
    <w:rsid w:val="0037406D"/>
    <w:rsid w:val="0038661D"/>
    <w:rsid w:val="00386F24"/>
    <w:rsid w:val="0039456C"/>
    <w:rsid w:val="0039662F"/>
    <w:rsid w:val="003A1B70"/>
    <w:rsid w:val="003D2090"/>
    <w:rsid w:val="003E3DA7"/>
    <w:rsid w:val="0042566C"/>
    <w:rsid w:val="00433A6A"/>
    <w:rsid w:val="00442508"/>
    <w:rsid w:val="0044666B"/>
    <w:rsid w:val="00450BF3"/>
    <w:rsid w:val="004578C7"/>
    <w:rsid w:val="004612F1"/>
    <w:rsid w:val="004703CE"/>
    <w:rsid w:val="00496F44"/>
    <w:rsid w:val="004C3C45"/>
    <w:rsid w:val="004D2BE7"/>
    <w:rsid w:val="004D5ED6"/>
    <w:rsid w:val="004E0409"/>
    <w:rsid w:val="004E15D6"/>
    <w:rsid w:val="004F2363"/>
    <w:rsid w:val="004F3DD8"/>
    <w:rsid w:val="005110D8"/>
    <w:rsid w:val="00511BBF"/>
    <w:rsid w:val="00514F5A"/>
    <w:rsid w:val="005327CA"/>
    <w:rsid w:val="00535EFD"/>
    <w:rsid w:val="005455F9"/>
    <w:rsid w:val="00557C7A"/>
    <w:rsid w:val="005A4D84"/>
    <w:rsid w:val="005A5312"/>
    <w:rsid w:val="005B327D"/>
    <w:rsid w:val="005B36C6"/>
    <w:rsid w:val="005B7F63"/>
    <w:rsid w:val="005D6385"/>
    <w:rsid w:val="005F1868"/>
    <w:rsid w:val="00600148"/>
    <w:rsid w:val="00605DE2"/>
    <w:rsid w:val="006124B3"/>
    <w:rsid w:val="0061383C"/>
    <w:rsid w:val="0062316B"/>
    <w:rsid w:val="00636478"/>
    <w:rsid w:val="00646DA5"/>
    <w:rsid w:val="006547D8"/>
    <w:rsid w:val="00660B43"/>
    <w:rsid w:val="00674CD2"/>
    <w:rsid w:val="00676C56"/>
    <w:rsid w:val="006820B7"/>
    <w:rsid w:val="00683951"/>
    <w:rsid w:val="006A2034"/>
    <w:rsid w:val="006A7124"/>
    <w:rsid w:val="006C5EC6"/>
    <w:rsid w:val="006C66E6"/>
    <w:rsid w:val="006D572A"/>
    <w:rsid w:val="00702B07"/>
    <w:rsid w:val="0073067C"/>
    <w:rsid w:val="00731BCE"/>
    <w:rsid w:val="00736E21"/>
    <w:rsid w:val="00740D78"/>
    <w:rsid w:val="00744F27"/>
    <w:rsid w:val="00751388"/>
    <w:rsid w:val="00753F85"/>
    <w:rsid w:val="007612D2"/>
    <w:rsid w:val="00770AFC"/>
    <w:rsid w:val="00772246"/>
    <w:rsid w:val="00774CF8"/>
    <w:rsid w:val="00776921"/>
    <w:rsid w:val="0078690C"/>
    <w:rsid w:val="007B5374"/>
    <w:rsid w:val="007D0683"/>
    <w:rsid w:val="007D124D"/>
    <w:rsid w:val="007E139C"/>
    <w:rsid w:val="007E535E"/>
    <w:rsid w:val="00806F71"/>
    <w:rsid w:val="00845C11"/>
    <w:rsid w:val="00851594"/>
    <w:rsid w:val="0085429F"/>
    <w:rsid w:val="00860DEE"/>
    <w:rsid w:val="00873F56"/>
    <w:rsid w:val="00885F9F"/>
    <w:rsid w:val="00891E3F"/>
    <w:rsid w:val="00895CCE"/>
    <w:rsid w:val="008B24A6"/>
    <w:rsid w:val="008C2D36"/>
    <w:rsid w:val="008E577C"/>
    <w:rsid w:val="00904BEE"/>
    <w:rsid w:val="0091163D"/>
    <w:rsid w:val="0094141E"/>
    <w:rsid w:val="009610AD"/>
    <w:rsid w:val="00997B35"/>
    <w:rsid w:val="009C475D"/>
    <w:rsid w:val="009D2FEA"/>
    <w:rsid w:val="009D71E8"/>
    <w:rsid w:val="009E0B6A"/>
    <w:rsid w:val="009E735E"/>
    <w:rsid w:val="009E7898"/>
    <w:rsid w:val="00A0047F"/>
    <w:rsid w:val="00A01D3C"/>
    <w:rsid w:val="00A07001"/>
    <w:rsid w:val="00A157D1"/>
    <w:rsid w:val="00A638B9"/>
    <w:rsid w:val="00A90B73"/>
    <w:rsid w:val="00A94DC3"/>
    <w:rsid w:val="00AB4500"/>
    <w:rsid w:val="00AC4545"/>
    <w:rsid w:val="00AC55B6"/>
    <w:rsid w:val="00AE63A0"/>
    <w:rsid w:val="00B07169"/>
    <w:rsid w:val="00B216D0"/>
    <w:rsid w:val="00B428CD"/>
    <w:rsid w:val="00B601FE"/>
    <w:rsid w:val="00B74C1D"/>
    <w:rsid w:val="00B874DA"/>
    <w:rsid w:val="00B93103"/>
    <w:rsid w:val="00BA38D9"/>
    <w:rsid w:val="00BB1091"/>
    <w:rsid w:val="00BB3B28"/>
    <w:rsid w:val="00BB7C81"/>
    <w:rsid w:val="00BC1B36"/>
    <w:rsid w:val="00BE309A"/>
    <w:rsid w:val="00BF326B"/>
    <w:rsid w:val="00BF64AD"/>
    <w:rsid w:val="00BF69DD"/>
    <w:rsid w:val="00C07818"/>
    <w:rsid w:val="00C10E54"/>
    <w:rsid w:val="00C1645B"/>
    <w:rsid w:val="00C400AB"/>
    <w:rsid w:val="00C743A8"/>
    <w:rsid w:val="00C85BC6"/>
    <w:rsid w:val="00C91D3A"/>
    <w:rsid w:val="00C957FA"/>
    <w:rsid w:val="00CA31DC"/>
    <w:rsid w:val="00CA7F82"/>
    <w:rsid w:val="00CB45DE"/>
    <w:rsid w:val="00CB7BED"/>
    <w:rsid w:val="00CC5E60"/>
    <w:rsid w:val="00CD1EE1"/>
    <w:rsid w:val="00CD298D"/>
    <w:rsid w:val="00CE64E6"/>
    <w:rsid w:val="00CF23F6"/>
    <w:rsid w:val="00CF4327"/>
    <w:rsid w:val="00CF724D"/>
    <w:rsid w:val="00CF76AB"/>
    <w:rsid w:val="00D17E7F"/>
    <w:rsid w:val="00D43DFA"/>
    <w:rsid w:val="00D52580"/>
    <w:rsid w:val="00D56A4D"/>
    <w:rsid w:val="00D72A8E"/>
    <w:rsid w:val="00D81F2D"/>
    <w:rsid w:val="00D83DE3"/>
    <w:rsid w:val="00D84698"/>
    <w:rsid w:val="00DE3149"/>
    <w:rsid w:val="00DE44ED"/>
    <w:rsid w:val="00DF7929"/>
    <w:rsid w:val="00E309F2"/>
    <w:rsid w:val="00E5279F"/>
    <w:rsid w:val="00E55380"/>
    <w:rsid w:val="00E57AEC"/>
    <w:rsid w:val="00E63389"/>
    <w:rsid w:val="00E63768"/>
    <w:rsid w:val="00E7342E"/>
    <w:rsid w:val="00E73607"/>
    <w:rsid w:val="00E96CD4"/>
    <w:rsid w:val="00E97F2E"/>
    <w:rsid w:val="00EB1C71"/>
    <w:rsid w:val="00ED263E"/>
    <w:rsid w:val="00F01087"/>
    <w:rsid w:val="00F07A11"/>
    <w:rsid w:val="00F10388"/>
    <w:rsid w:val="00F16F23"/>
    <w:rsid w:val="00F176EC"/>
    <w:rsid w:val="00F308B8"/>
    <w:rsid w:val="00F33C5B"/>
    <w:rsid w:val="00F417AA"/>
    <w:rsid w:val="00F63C2F"/>
    <w:rsid w:val="00F657DC"/>
    <w:rsid w:val="00F726A5"/>
    <w:rsid w:val="00F72967"/>
    <w:rsid w:val="00F8345A"/>
    <w:rsid w:val="00FB51EF"/>
    <w:rsid w:val="00FB52CB"/>
    <w:rsid w:val="00FD0BCB"/>
    <w:rsid w:val="00FD2193"/>
    <w:rsid w:val="00FD3191"/>
    <w:rsid w:val="00FE4BD7"/>
    <w:rsid w:val="00FF4FB6"/>
    <w:rsid w:val="00FF649F"/>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1A4B6E3"/>
  <w15:docId w15:val="{041C722C-E960-4DC1-83CB-B5D9D490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91"/>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B7BED"/>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ar">
    <w:name w:val="Título Car"/>
    <w:link w:val="Ttulo"/>
    <w:uiPriority w:val="10"/>
    <w:rsid w:val="00CB7BED"/>
    <w:rPr>
      <w:rFonts w:ascii="Cambria" w:eastAsia="Times New Roman" w:hAnsi="Cambria" w:cs="Times New Roman"/>
      <w:color w:val="17365D"/>
      <w:spacing w:val="5"/>
      <w:kern w:val="28"/>
      <w:sz w:val="52"/>
      <w:szCs w:val="52"/>
    </w:rPr>
  </w:style>
  <w:style w:type="character" w:customStyle="1" w:styleId="apple-converted-space">
    <w:name w:val="apple-converted-space"/>
    <w:basedOn w:val="Fuentedeprrafopredeter"/>
    <w:rsid w:val="00772246"/>
  </w:style>
  <w:style w:type="character" w:customStyle="1" w:styleId="il">
    <w:name w:val="il"/>
    <w:basedOn w:val="Fuentedeprrafopredeter"/>
    <w:rsid w:val="00772246"/>
  </w:style>
  <w:style w:type="paragraph" w:customStyle="1" w:styleId="Cuadrculaclara-nfasis31">
    <w:name w:val="Cuadrícula clara - Énfasis 31"/>
    <w:basedOn w:val="Normal"/>
    <w:uiPriority w:val="34"/>
    <w:qFormat/>
    <w:rsid w:val="00D72A8E"/>
    <w:pPr>
      <w:ind w:left="720"/>
      <w:contextualSpacing/>
    </w:pPr>
  </w:style>
  <w:style w:type="paragraph" w:styleId="Sinespaciado">
    <w:name w:val="No Spacing"/>
    <w:link w:val="SinespaciadoCar"/>
    <w:uiPriority w:val="1"/>
    <w:qFormat/>
    <w:rsid w:val="004E0409"/>
    <w:rPr>
      <w:sz w:val="22"/>
      <w:szCs w:val="22"/>
      <w:lang w:val="es-ES" w:eastAsia="en-US"/>
    </w:rPr>
  </w:style>
  <w:style w:type="table" w:styleId="Tablaconcuadrcula">
    <w:name w:val="Table Grid"/>
    <w:basedOn w:val="Tablanormal"/>
    <w:uiPriority w:val="59"/>
    <w:rsid w:val="00941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51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1EF"/>
  </w:style>
  <w:style w:type="paragraph" w:styleId="Piedepgina">
    <w:name w:val="footer"/>
    <w:basedOn w:val="Normal"/>
    <w:link w:val="PiedepginaCar"/>
    <w:uiPriority w:val="99"/>
    <w:unhideWhenUsed/>
    <w:rsid w:val="00FB51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1EF"/>
  </w:style>
  <w:style w:type="character" w:customStyle="1" w:styleId="SinespaciadoCar">
    <w:name w:val="Sin espaciado Car"/>
    <w:link w:val="Sinespaciado"/>
    <w:uiPriority w:val="1"/>
    <w:rsid w:val="00FB51EF"/>
    <w:rPr>
      <w:sz w:val="22"/>
      <w:szCs w:val="22"/>
      <w:lang w:val="es-ES" w:eastAsia="en-US" w:bidi="ar-SA"/>
    </w:rPr>
  </w:style>
  <w:style w:type="paragraph" w:styleId="Textodeglobo">
    <w:name w:val="Balloon Text"/>
    <w:basedOn w:val="Normal"/>
    <w:link w:val="TextodegloboCar"/>
    <w:uiPriority w:val="99"/>
    <w:semiHidden/>
    <w:unhideWhenUsed/>
    <w:rsid w:val="00212FB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12FB7"/>
    <w:rPr>
      <w:rFonts w:ascii="Tahoma" w:hAnsi="Tahoma" w:cs="Tahoma"/>
      <w:sz w:val="16"/>
      <w:szCs w:val="16"/>
      <w:lang w:val="es-ES" w:eastAsia="en-US"/>
    </w:rPr>
  </w:style>
  <w:style w:type="paragraph" w:customStyle="1" w:styleId="Cuadrculamedia1-nfasis21">
    <w:name w:val="Cuadrícula media 1 - Énfasis 21"/>
    <w:basedOn w:val="Normal"/>
    <w:uiPriority w:val="34"/>
    <w:qFormat/>
    <w:rsid w:val="00D52580"/>
    <w:pPr>
      <w:ind w:left="720"/>
      <w:contextualSpacing/>
    </w:pPr>
  </w:style>
  <w:style w:type="paragraph" w:customStyle="1" w:styleId="Default">
    <w:name w:val="Default"/>
    <w:rsid w:val="00BC1B36"/>
    <w:pPr>
      <w:autoSpaceDE w:val="0"/>
      <w:autoSpaceDN w:val="0"/>
      <w:adjustRightInd w:val="0"/>
    </w:pPr>
    <w:rPr>
      <w:rFonts w:ascii="Arial" w:hAnsi="Arial" w:cs="Arial"/>
      <w:color w:val="000000"/>
      <w:sz w:val="24"/>
      <w:szCs w:val="24"/>
      <w:lang w:val="es-PA" w:eastAsia="en-US"/>
    </w:rPr>
  </w:style>
  <w:style w:type="paragraph" w:customStyle="1" w:styleId="Listavistosa-nfasis11">
    <w:name w:val="Lista vistosa - Énfasis 11"/>
    <w:basedOn w:val="Normal"/>
    <w:uiPriority w:val="34"/>
    <w:qFormat/>
    <w:rsid w:val="002113F6"/>
    <w:pPr>
      <w:ind w:left="708"/>
    </w:pPr>
  </w:style>
  <w:style w:type="character" w:styleId="Hipervnculo">
    <w:name w:val="Hyperlink"/>
    <w:uiPriority w:val="99"/>
    <w:unhideWhenUsed/>
    <w:rsid w:val="001F2F68"/>
    <w:rPr>
      <w:color w:val="0563C1"/>
      <w:u w:val="single"/>
    </w:rPr>
  </w:style>
  <w:style w:type="table" w:customStyle="1" w:styleId="Tablaconcuadrcula1">
    <w:name w:val="Tabla con cuadrícula1"/>
    <w:basedOn w:val="Tablanormal"/>
    <w:next w:val="Tablaconcuadrcula"/>
    <w:uiPriority w:val="59"/>
    <w:rsid w:val="00F01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3607"/>
    <w:pPr>
      <w:ind w:left="720"/>
      <w:contextualSpacing/>
    </w:pPr>
  </w:style>
  <w:style w:type="character" w:styleId="Refdecomentario">
    <w:name w:val="annotation reference"/>
    <w:basedOn w:val="Fuentedeprrafopredeter"/>
    <w:uiPriority w:val="99"/>
    <w:semiHidden/>
    <w:unhideWhenUsed/>
    <w:rsid w:val="00646DA5"/>
    <w:rPr>
      <w:sz w:val="16"/>
      <w:szCs w:val="16"/>
    </w:rPr>
  </w:style>
  <w:style w:type="paragraph" w:styleId="Textocomentario">
    <w:name w:val="annotation text"/>
    <w:basedOn w:val="Normal"/>
    <w:link w:val="TextocomentarioCar"/>
    <w:uiPriority w:val="99"/>
    <w:unhideWhenUsed/>
    <w:rsid w:val="00646DA5"/>
    <w:pPr>
      <w:spacing w:line="240" w:lineRule="auto"/>
    </w:pPr>
    <w:rPr>
      <w:sz w:val="20"/>
      <w:szCs w:val="20"/>
    </w:rPr>
  </w:style>
  <w:style w:type="character" w:customStyle="1" w:styleId="TextocomentarioCar">
    <w:name w:val="Texto comentario Car"/>
    <w:basedOn w:val="Fuentedeprrafopredeter"/>
    <w:link w:val="Textocomentario"/>
    <w:uiPriority w:val="99"/>
    <w:rsid w:val="00646DA5"/>
    <w:rPr>
      <w:lang w:val="es-ES" w:eastAsia="en-US"/>
    </w:rPr>
  </w:style>
  <w:style w:type="paragraph" w:styleId="Asuntodelcomentario">
    <w:name w:val="annotation subject"/>
    <w:basedOn w:val="Textocomentario"/>
    <w:next w:val="Textocomentario"/>
    <w:link w:val="AsuntodelcomentarioCar"/>
    <w:uiPriority w:val="99"/>
    <w:semiHidden/>
    <w:unhideWhenUsed/>
    <w:rsid w:val="00646DA5"/>
    <w:rPr>
      <w:b/>
      <w:bCs/>
    </w:rPr>
  </w:style>
  <w:style w:type="character" w:customStyle="1" w:styleId="AsuntodelcomentarioCar">
    <w:name w:val="Asunto del comentario Car"/>
    <w:basedOn w:val="TextocomentarioCar"/>
    <w:link w:val="Asuntodelcomentario"/>
    <w:uiPriority w:val="99"/>
    <w:semiHidden/>
    <w:rsid w:val="00646DA5"/>
    <w:rPr>
      <w:b/>
      <w:bCs/>
      <w:lang w:val="es-ES" w:eastAsia="en-US"/>
    </w:rPr>
  </w:style>
  <w:style w:type="character" w:styleId="Mencinsinresolver">
    <w:name w:val="Unresolved Mention"/>
    <w:basedOn w:val="Fuentedeprrafopredeter"/>
    <w:uiPriority w:val="99"/>
    <w:semiHidden/>
    <w:unhideWhenUsed/>
    <w:rsid w:val="00E63768"/>
    <w:rPr>
      <w:color w:val="605E5C"/>
      <w:shd w:val="clear" w:color="auto" w:fill="E1DFDD"/>
    </w:rPr>
  </w:style>
  <w:style w:type="paragraph" w:styleId="Revisin">
    <w:name w:val="Revision"/>
    <w:hidden/>
    <w:uiPriority w:val="99"/>
    <w:semiHidden/>
    <w:rsid w:val="00770AFC"/>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2176">
      <w:bodyDiv w:val="1"/>
      <w:marLeft w:val="0"/>
      <w:marRight w:val="0"/>
      <w:marTop w:val="0"/>
      <w:marBottom w:val="0"/>
      <w:divBdr>
        <w:top w:val="none" w:sz="0" w:space="0" w:color="auto"/>
        <w:left w:val="none" w:sz="0" w:space="0" w:color="auto"/>
        <w:bottom w:val="none" w:sz="0" w:space="0" w:color="auto"/>
        <w:right w:val="none" w:sz="0" w:space="0" w:color="auto"/>
      </w:divBdr>
    </w:div>
    <w:div w:id="483812262">
      <w:bodyDiv w:val="1"/>
      <w:marLeft w:val="0"/>
      <w:marRight w:val="0"/>
      <w:marTop w:val="0"/>
      <w:marBottom w:val="0"/>
      <w:divBdr>
        <w:top w:val="none" w:sz="0" w:space="0" w:color="auto"/>
        <w:left w:val="none" w:sz="0" w:space="0" w:color="auto"/>
        <w:bottom w:val="none" w:sz="0" w:space="0" w:color="auto"/>
        <w:right w:val="none" w:sz="0" w:space="0" w:color="auto"/>
      </w:divBdr>
    </w:div>
    <w:div w:id="770901287">
      <w:bodyDiv w:val="1"/>
      <w:marLeft w:val="0"/>
      <w:marRight w:val="0"/>
      <w:marTop w:val="0"/>
      <w:marBottom w:val="0"/>
      <w:divBdr>
        <w:top w:val="none" w:sz="0" w:space="0" w:color="auto"/>
        <w:left w:val="none" w:sz="0" w:space="0" w:color="auto"/>
        <w:bottom w:val="none" w:sz="0" w:space="0" w:color="auto"/>
        <w:right w:val="none" w:sz="0" w:space="0" w:color="auto"/>
      </w:divBdr>
    </w:div>
    <w:div w:id="1436901942">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769034944">
      <w:bodyDiv w:val="1"/>
      <w:marLeft w:val="0"/>
      <w:marRight w:val="0"/>
      <w:marTop w:val="0"/>
      <w:marBottom w:val="0"/>
      <w:divBdr>
        <w:top w:val="none" w:sz="0" w:space="0" w:color="auto"/>
        <w:left w:val="none" w:sz="0" w:space="0" w:color="auto"/>
        <w:bottom w:val="none" w:sz="0" w:space="0" w:color="auto"/>
        <w:right w:val="none" w:sz="0" w:space="0" w:color="auto"/>
      </w:divBdr>
    </w:div>
    <w:div w:id="19509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1230</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7986</CharactersWithSpaces>
  <SharedDoc>false</SharedDoc>
  <HLinks>
    <vt:vector size="6" baseType="variant">
      <vt:variant>
        <vt:i4>2359377</vt:i4>
      </vt:variant>
      <vt:variant>
        <vt:i4>0</vt:i4>
      </vt:variant>
      <vt:variant>
        <vt:i4>0</vt:i4>
      </vt:variant>
      <vt:variant>
        <vt:i4>5</vt:i4>
      </vt:variant>
      <vt:variant>
        <vt:lpwstr>mailto:regula.investigacion@gmail.com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Magalys Quintana Tuñón</dc:creator>
  <cp:keywords/>
  <cp:lastModifiedBy>Daniela Díaz</cp:lastModifiedBy>
  <cp:revision>14</cp:revision>
  <cp:lastPrinted>2020-05-26T18:00:00Z</cp:lastPrinted>
  <dcterms:created xsi:type="dcterms:W3CDTF">2025-06-02T18:02:00Z</dcterms:created>
  <dcterms:modified xsi:type="dcterms:W3CDTF">2025-06-10T21:22:00Z</dcterms:modified>
</cp:coreProperties>
</file>