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BBCF" w14:textId="5DDBBA1B" w:rsidR="00082A00" w:rsidRPr="00082A00" w:rsidRDefault="00980C05" w:rsidP="00082A00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9E0A77">
        <w:rPr>
          <w:rFonts w:cstheme="minorHAnsi"/>
          <w:b/>
          <w:sz w:val="28"/>
          <w:szCs w:val="24"/>
        </w:rPr>
        <w:t xml:space="preserve">Aprobación </w:t>
      </w:r>
      <w:r w:rsidR="00987E6A" w:rsidRPr="009E0A77">
        <w:rPr>
          <w:rFonts w:cstheme="minorHAnsi"/>
          <w:b/>
          <w:sz w:val="28"/>
          <w:szCs w:val="24"/>
        </w:rPr>
        <w:t>de protocolo</w:t>
      </w:r>
    </w:p>
    <w:p w14:paraId="6BD4C26C" w14:textId="77777777" w:rsidR="00987E6A" w:rsidRPr="009E0A77" w:rsidRDefault="00987E6A" w:rsidP="00987E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339714" w14:textId="10F55579" w:rsidR="00980C05" w:rsidRPr="009E0A77" w:rsidRDefault="00987E6A" w:rsidP="00987E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0826">
        <w:rPr>
          <w:rFonts w:cstheme="minorHAnsi"/>
          <w:sz w:val="24"/>
          <w:szCs w:val="24"/>
        </w:rPr>
        <w:t>Por este medio informamos que</w:t>
      </w:r>
      <w:r w:rsidR="009B6B93" w:rsidRPr="008F0826">
        <w:rPr>
          <w:rFonts w:cstheme="minorHAnsi"/>
          <w:sz w:val="24"/>
          <w:szCs w:val="24"/>
        </w:rPr>
        <w:t xml:space="preserve"> </w:t>
      </w:r>
      <w:r w:rsidRPr="008F0826">
        <w:rPr>
          <w:rFonts w:cstheme="minorHAnsi"/>
          <w:sz w:val="24"/>
          <w:szCs w:val="24"/>
        </w:rPr>
        <w:t xml:space="preserve">luego de </w:t>
      </w:r>
      <w:r w:rsidR="009615C4" w:rsidRPr="008F0826">
        <w:rPr>
          <w:rFonts w:cstheme="minorHAnsi"/>
          <w:sz w:val="24"/>
          <w:szCs w:val="24"/>
        </w:rPr>
        <w:t xml:space="preserve">la </w:t>
      </w:r>
      <w:r w:rsidRPr="008F0826">
        <w:rPr>
          <w:rFonts w:cstheme="minorHAnsi"/>
          <w:sz w:val="24"/>
          <w:szCs w:val="24"/>
        </w:rPr>
        <w:t>revisión</w:t>
      </w:r>
      <w:r w:rsidR="009615C4" w:rsidRPr="008F0826">
        <w:rPr>
          <w:rFonts w:cstheme="minorHAnsi"/>
          <w:sz w:val="24"/>
          <w:szCs w:val="24"/>
        </w:rPr>
        <w:t xml:space="preserve"> ética</w:t>
      </w:r>
      <w:r w:rsidR="001077E0" w:rsidRPr="008F0826">
        <w:rPr>
          <w:rFonts w:cstheme="minorHAnsi"/>
          <w:sz w:val="24"/>
          <w:szCs w:val="24"/>
        </w:rPr>
        <w:t xml:space="preserve">, </w:t>
      </w:r>
      <w:r w:rsidR="001077E0" w:rsidRPr="008F0826">
        <w:rPr>
          <w:rFonts w:cstheme="minorHAnsi"/>
          <w:i/>
          <w:sz w:val="24"/>
          <w:szCs w:val="24"/>
        </w:rPr>
        <w:t xml:space="preserve">la decisión </w:t>
      </w:r>
      <w:r w:rsidR="006F7058" w:rsidRPr="008F0826">
        <w:rPr>
          <w:rFonts w:cstheme="minorHAnsi"/>
          <w:i/>
          <w:sz w:val="24"/>
          <w:szCs w:val="24"/>
        </w:rPr>
        <w:t xml:space="preserve">del CNBI </w:t>
      </w:r>
      <w:r w:rsidR="001077E0" w:rsidRPr="008F0826">
        <w:rPr>
          <w:rFonts w:cstheme="minorHAnsi"/>
          <w:i/>
          <w:sz w:val="24"/>
          <w:szCs w:val="24"/>
        </w:rPr>
        <w:t>es</w:t>
      </w:r>
      <w:r w:rsidR="006F7058" w:rsidRPr="008F0826">
        <w:rPr>
          <w:rFonts w:cstheme="minorHAnsi"/>
          <w:i/>
          <w:sz w:val="24"/>
          <w:szCs w:val="24"/>
        </w:rPr>
        <w:t xml:space="preserve"> la</w:t>
      </w:r>
      <w:r w:rsidRPr="008F0826">
        <w:rPr>
          <w:rFonts w:cstheme="minorHAnsi"/>
          <w:sz w:val="24"/>
          <w:szCs w:val="24"/>
        </w:rPr>
        <w:t xml:space="preserve"> </w:t>
      </w:r>
      <w:r w:rsidR="00F66F16" w:rsidRPr="008F0826">
        <w:rPr>
          <w:rFonts w:cstheme="minorHAnsi"/>
          <w:b/>
          <w:sz w:val="24"/>
          <w:szCs w:val="24"/>
        </w:rPr>
        <w:t xml:space="preserve">APROBACIÓN </w:t>
      </w:r>
      <w:r w:rsidR="00415CE1" w:rsidRPr="008F0826">
        <w:rPr>
          <w:rFonts w:cstheme="minorHAnsi"/>
          <w:sz w:val="24"/>
          <w:szCs w:val="24"/>
        </w:rPr>
        <w:t>d</w:t>
      </w:r>
      <w:r w:rsidRPr="008F0826">
        <w:rPr>
          <w:rFonts w:cstheme="minorHAnsi"/>
          <w:sz w:val="24"/>
          <w:szCs w:val="24"/>
        </w:rPr>
        <w:t>el protocolo en referencia.</w:t>
      </w:r>
    </w:p>
    <w:p w14:paraId="6E498262" w14:textId="77777777" w:rsidR="00EE37B4" w:rsidRPr="009E0A77" w:rsidRDefault="00EE37B4" w:rsidP="00987E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365"/>
      </w:tblGrid>
      <w:tr w:rsidR="00487ECD" w:rsidRPr="009E0A77" w14:paraId="44583636" w14:textId="77777777" w:rsidTr="000A6821">
        <w:trPr>
          <w:trHeight w:val="309"/>
        </w:trPr>
        <w:tc>
          <w:tcPr>
            <w:tcW w:w="5949" w:type="dxa"/>
            <w:vAlign w:val="center"/>
          </w:tcPr>
          <w:p w14:paraId="6FAEAE56" w14:textId="77777777" w:rsidR="00487ECD" w:rsidRPr="009E0A77" w:rsidRDefault="00487ECD" w:rsidP="007108A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No. Interno de Seguimiento:</w:t>
            </w:r>
          </w:p>
        </w:tc>
        <w:tc>
          <w:tcPr>
            <w:tcW w:w="4365" w:type="dxa"/>
            <w:vAlign w:val="center"/>
          </w:tcPr>
          <w:p w14:paraId="1B631CE5" w14:textId="77777777" w:rsidR="00487ECD" w:rsidRPr="009E0A77" w:rsidRDefault="00487ECD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8A5" w:rsidRPr="009E0A77" w14:paraId="26EBF5F2" w14:textId="77777777" w:rsidTr="000A6821">
        <w:trPr>
          <w:trHeight w:val="309"/>
        </w:trPr>
        <w:tc>
          <w:tcPr>
            <w:tcW w:w="5949" w:type="dxa"/>
            <w:vAlign w:val="center"/>
          </w:tcPr>
          <w:p w14:paraId="0724983A" w14:textId="77777777" w:rsidR="007108A5" w:rsidRPr="009E0A77" w:rsidRDefault="00980C05" w:rsidP="007108A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Número del Protocolo</w:t>
            </w:r>
            <w:r w:rsidR="007108A5" w:rsidRPr="009E0A7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vAlign w:val="center"/>
          </w:tcPr>
          <w:p w14:paraId="21F09E0C" w14:textId="77777777" w:rsidR="007108A5" w:rsidRPr="009E0A77" w:rsidRDefault="007108A5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8A5" w:rsidRPr="009E0A77" w14:paraId="20D14460" w14:textId="77777777" w:rsidTr="000A6821">
        <w:trPr>
          <w:trHeight w:val="309"/>
        </w:trPr>
        <w:tc>
          <w:tcPr>
            <w:tcW w:w="5949" w:type="dxa"/>
            <w:vAlign w:val="center"/>
          </w:tcPr>
          <w:p w14:paraId="4547189C" w14:textId="77777777" w:rsidR="007108A5" w:rsidRPr="009E0A77" w:rsidRDefault="00980C05" w:rsidP="007108A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Título</w:t>
            </w:r>
            <w:r w:rsidR="007108A5" w:rsidRPr="009E0A77">
              <w:rPr>
                <w:rFonts w:cstheme="minorHAnsi"/>
                <w:b/>
                <w:sz w:val="24"/>
                <w:szCs w:val="24"/>
              </w:rPr>
              <w:t xml:space="preserve"> de Protocolo:</w:t>
            </w:r>
          </w:p>
        </w:tc>
        <w:tc>
          <w:tcPr>
            <w:tcW w:w="4365" w:type="dxa"/>
            <w:vAlign w:val="center"/>
          </w:tcPr>
          <w:p w14:paraId="5387EE64" w14:textId="77777777" w:rsidR="007108A5" w:rsidRPr="009E0A77" w:rsidRDefault="007108A5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3AD8" w:rsidRPr="009E0A77" w14:paraId="7235BB59" w14:textId="77777777" w:rsidTr="000A6821">
        <w:trPr>
          <w:trHeight w:val="309"/>
        </w:trPr>
        <w:tc>
          <w:tcPr>
            <w:tcW w:w="5949" w:type="dxa"/>
            <w:vAlign w:val="center"/>
          </w:tcPr>
          <w:p w14:paraId="1738ECBF" w14:textId="77777777" w:rsidR="00753AD8" w:rsidRPr="009E0A77" w:rsidRDefault="00753AD8" w:rsidP="007108A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Patrocinador:</w:t>
            </w:r>
          </w:p>
        </w:tc>
        <w:tc>
          <w:tcPr>
            <w:tcW w:w="4365" w:type="dxa"/>
            <w:vAlign w:val="center"/>
          </w:tcPr>
          <w:p w14:paraId="7DDF1501" w14:textId="77777777" w:rsidR="00753AD8" w:rsidRPr="009E0A77" w:rsidRDefault="00753AD8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14A9" w:rsidRPr="009E0A77" w14:paraId="44123841" w14:textId="77777777" w:rsidTr="000A6821">
        <w:trPr>
          <w:trHeight w:val="413"/>
        </w:trPr>
        <w:tc>
          <w:tcPr>
            <w:tcW w:w="5949" w:type="dxa"/>
            <w:vAlign w:val="center"/>
          </w:tcPr>
          <w:p w14:paraId="12614C6E" w14:textId="77777777" w:rsidR="009514A9" w:rsidRPr="009E0A77" w:rsidRDefault="00161B66" w:rsidP="00980C0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Investigador Principal</w:t>
            </w:r>
            <w:r w:rsidR="00980C05" w:rsidRPr="009E0A7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vAlign w:val="center"/>
          </w:tcPr>
          <w:p w14:paraId="39BDDE9E" w14:textId="77777777" w:rsidR="009514A9" w:rsidRPr="009E0A77" w:rsidRDefault="009514A9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7E6A" w:rsidRPr="009E0A77" w14:paraId="67F8D399" w14:textId="77777777" w:rsidTr="000A6821">
        <w:trPr>
          <w:trHeight w:val="413"/>
        </w:trPr>
        <w:tc>
          <w:tcPr>
            <w:tcW w:w="5949" w:type="dxa"/>
            <w:vAlign w:val="center"/>
          </w:tcPr>
          <w:p w14:paraId="0A04DBD3" w14:textId="77777777" w:rsidR="00987E6A" w:rsidRPr="009E0A77" w:rsidRDefault="00987E6A" w:rsidP="00980C0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Nombre y Dirección del Sitio de Investigación aprobado:</w:t>
            </w:r>
          </w:p>
        </w:tc>
        <w:tc>
          <w:tcPr>
            <w:tcW w:w="4365" w:type="dxa"/>
            <w:vAlign w:val="center"/>
          </w:tcPr>
          <w:p w14:paraId="7771E8B1" w14:textId="77777777" w:rsidR="00987E6A" w:rsidRPr="009E0A77" w:rsidRDefault="00987E6A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441E9" w:rsidRPr="009E0A77" w14:paraId="4E3CC3CC" w14:textId="77777777" w:rsidTr="000A6821">
        <w:trPr>
          <w:trHeight w:val="413"/>
        </w:trPr>
        <w:tc>
          <w:tcPr>
            <w:tcW w:w="5949" w:type="dxa"/>
            <w:vAlign w:val="center"/>
          </w:tcPr>
          <w:p w14:paraId="4FDA73D1" w14:textId="77777777" w:rsidR="00C441E9" w:rsidRPr="009E0A77" w:rsidRDefault="00C441E9" w:rsidP="00980C0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Fecha de aprobación:</w:t>
            </w:r>
          </w:p>
        </w:tc>
        <w:tc>
          <w:tcPr>
            <w:tcW w:w="4365" w:type="dxa"/>
            <w:vAlign w:val="center"/>
          </w:tcPr>
          <w:p w14:paraId="0A99ED99" w14:textId="77777777" w:rsidR="00C441E9" w:rsidRPr="009E0A77" w:rsidRDefault="00C441E9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C4F34" w:rsidRPr="009E0A77" w14:paraId="09D65042" w14:textId="77777777" w:rsidTr="000A6821">
        <w:trPr>
          <w:trHeight w:val="413"/>
        </w:trPr>
        <w:tc>
          <w:tcPr>
            <w:tcW w:w="5949" w:type="dxa"/>
            <w:vAlign w:val="center"/>
          </w:tcPr>
          <w:p w14:paraId="0C305250" w14:textId="77777777" w:rsidR="001C4F34" w:rsidRPr="009E0A77" w:rsidRDefault="001C4F34" w:rsidP="00980C05">
            <w:pPr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Fecha de vencimiento de aprobación:</w:t>
            </w:r>
          </w:p>
        </w:tc>
        <w:tc>
          <w:tcPr>
            <w:tcW w:w="4365" w:type="dxa"/>
            <w:vAlign w:val="center"/>
          </w:tcPr>
          <w:p w14:paraId="34D27B70" w14:textId="77777777" w:rsidR="001C4F34" w:rsidRPr="009E0A77" w:rsidRDefault="001C4F34" w:rsidP="00025B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DD19BE9" w14:textId="77777777" w:rsidR="00487ECD" w:rsidRPr="009E0A77" w:rsidRDefault="00487ECD" w:rsidP="00980C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5732BA" w14:textId="77777777" w:rsidR="001C4F34" w:rsidRPr="009E0A77" w:rsidRDefault="001C4F34" w:rsidP="00980C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970"/>
        <w:gridCol w:w="2197"/>
        <w:gridCol w:w="2197"/>
      </w:tblGrid>
      <w:tr w:rsidR="00987E6A" w:rsidRPr="009E0A77" w14:paraId="0ECBE1B8" w14:textId="77777777" w:rsidTr="009E0A77">
        <w:tc>
          <w:tcPr>
            <w:tcW w:w="10314" w:type="dxa"/>
            <w:gridSpan w:val="4"/>
            <w:shd w:val="clear" w:color="auto" w:fill="C2D69B" w:themeFill="accent3" w:themeFillTint="99"/>
            <w:vAlign w:val="center"/>
          </w:tcPr>
          <w:p w14:paraId="4541F7CA" w14:textId="77777777" w:rsidR="00987E6A" w:rsidRPr="009E0A77" w:rsidRDefault="00987E6A" w:rsidP="003648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Se revisaron y aprobaron los siguientes documentos</w:t>
            </w:r>
          </w:p>
        </w:tc>
      </w:tr>
      <w:tr w:rsidR="00987E6A" w:rsidRPr="009E0A77" w14:paraId="5806FA6B" w14:textId="77777777" w:rsidTr="009E0A77">
        <w:tc>
          <w:tcPr>
            <w:tcW w:w="2950" w:type="dxa"/>
            <w:shd w:val="clear" w:color="auto" w:fill="C2D69B" w:themeFill="accent3" w:themeFillTint="99"/>
            <w:vAlign w:val="center"/>
          </w:tcPr>
          <w:p w14:paraId="3E9F0172" w14:textId="77777777" w:rsidR="00987E6A" w:rsidRPr="009E0A77" w:rsidRDefault="00987E6A" w:rsidP="00987E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Nombre</w:t>
            </w:r>
          </w:p>
        </w:tc>
        <w:tc>
          <w:tcPr>
            <w:tcW w:w="2970" w:type="dxa"/>
            <w:shd w:val="clear" w:color="auto" w:fill="C2D69B" w:themeFill="accent3" w:themeFillTint="99"/>
            <w:vAlign w:val="center"/>
          </w:tcPr>
          <w:p w14:paraId="750755B1" w14:textId="77777777" w:rsidR="00987E6A" w:rsidRPr="009E0A77" w:rsidRDefault="00987E6A" w:rsidP="003648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Versión</w:t>
            </w:r>
          </w:p>
        </w:tc>
        <w:tc>
          <w:tcPr>
            <w:tcW w:w="2197" w:type="dxa"/>
            <w:shd w:val="clear" w:color="auto" w:fill="C2D69B" w:themeFill="accent3" w:themeFillTint="99"/>
            <w:vAlign w:val="center"/>
          </w:tcPr>
          <w:p w14:paraId="356F5AFE" w14:textId="77777777" w:rsidR="00987E6A" w:rsidRPr="009E0A77" w:rsidRDefault="00987E6A" w:rsidP="003648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2197" w:type="dxa"/>
            <w:shd w:val="clear" w:color="auto" w:fill="C2D69B" w:themeFill="accent3" w:themeFillTint="99"/>
            <w:vAlign w:val="center"/>
          </w:tcPr>
          <w:p w14:paraId="0C028723" w14:textId="77777777" w:rsidR="00987E6A" w:rsidRPr="009E0A77" w:rsidRDefault="00987E6A" w:rsidP="003648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Idioma</w:t>
            </w:r>
          </w:p>
        </w:tc>
      </w:tr>
      <w:tr w:rsidR="00987E6A" w:rsidRPr="009E0A77" w14:paraId="0F4AABD5" w14:textId="77777777" w:rsidTr="004D3112">
        <w:trPr>
          <w:trHeight w:val="469"/>
        </w:trPr>
        <w:tc>
          <w:tcPr>
            <w:tcW w:w="2950" w:type="dxa"/>
            <w:vAlign w:val="center"/>
          </w:tcPr>
          <w:p w14:paraId="1EC1B743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A03765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0579DE0F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F489A0D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87E6A" w:rsidRPr="009E0A77" w14:paraId="4B82C9B5" w14:textId="77777777" w:rsidTr="004D3112">
        <w:trPr>
          <w:trHeight w:val="469"/>
        </w:trPr>
        <w:tc>
          <w:tcPr>
            <w:tcW w:w="2950" w:type="dxa"/>
            <w:vAlign w:val="center"/>
          </w:tcPr>
          <w:p w14:paraId="3EAECC51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2E11345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1FAD21B9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4FF38003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87E6A" w:rsidRPr="009E0A77" w14:paraId="3F160C26" w14:textId="77777777" w:rsidTr="004D3112">
        <w:trPr>
          <w:trHeight w:val="469"/>
        </w:trPr>
        <w:tc>
          <w:tcPr>
            <w:tcW w:w="2950" w:type="dxa"/>
            <w:vAlign w:val="center"/>
          </w:tcPr>
          <w:p w14:paraId="7380FDB1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6916072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022DB3AF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E52F1E1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87E6A" w:rsidRPr="009E0A77" w14:paraId="4083CF30" w14:textId="77777777" w:rsidTr="004D3112">
        <w:trPr>
          <w:trHeight w:val="469"/>
        </w:trPr>
        <w:tc>
          <w:tcPr>
            <w:tcW w:w="2950" w:type="dxa"/>
            <w:vAlign w:val="center"/>
          </w:tcPr>
          <w:p w14:paraId="4BDCDC41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2FA8A45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10975F0C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1A260B14" w14:textId="77777777" w:rsidR="00987E6A" w:rsidRPr="009E0A77" w:rsidRDefault="00987E6A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451D10F" w14:textId="71CDFCD9" w:rsidR="00EE37B4" w:rsidRDefault="00EE37B4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0669FDDB" w14:textId="77777777" w:rsidR="00EE37B4" w:rsidRPr="009E0A77" w:rsidRDefault="00EE37B4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7654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969"/>
      </w:tblGrid>
      <w:tr w:rsidR="009E0A77" w:rsidRPr="009E0A77" w14:paraId="415C2ACE" w14:textId="77777777" w:rsidTr="009E0A77">
        <w:tc>
          <w:tcPr>
            <w:tcW w:w="7654" w:type="dxa"/>
            <w:gridSpan w:val="2"/>
            <w:shd w:val="clear" w:color="auto" w:fill="C2D69B" w:themeFill="accent3" w:themeFillTint="99"/>
            <w:vAlign w:val="center"/>
          </w:tcPr>
          <w:p w14:paraId="122D4872" w14:textId="77777777" w:rsidR="009E0A77" w:rsidRPr="009E0A77" w:rsidRDefault="009E0A77" w:rsidP="009E0A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Por este medio se hace constar que los siguientes miembros del CNBI estuvieron presentes en la sesión en la cual se APROBO el protocolo</w:t>
            </w:r>
          </w:p>
          <w:p w14:paraId="7190B169" w14:textId="77777777" w:rsidR="009E0A77" w:rsidRPr="009E0A77" w:rsidRDefault="009E0A77" w:rsidP="000D06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E0A77" w:rsidRPr="009E0A77" w14:paraId="52866334" w14:textId="77777777" w:rsidTr="009E0A77">
        <w:tc>
          <w:tcPr>
            <w:tcW w:w="3685" w:type="dxa"/>
            <w:shd w:val="clear" w:color="auto" w:fill="C2D69B" w:themeFill="accent3" w:themeFillTint="99"/>
            <w:vAlign w:val="center"/>
          </w:tcPr>
          <w:p w14:paraId="7FEFC021" w14:textId="77777777" w:rsidR="009E0A77" w:rsidRPr="009E0A77" w:rsidRDefault="009E0A77" w:rsidP="001C4F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Nombre</w:t>
            </w:r>
          </w:p>
        </w:tc>
        <w:tc>
          <w:tcPr>
            <w:tcW w:w="3969" w:type="dxa"/>
            <w:shd w:val="clear" w:color="auto" w:fill="C2D69B" w:themeFill="accent3" w:themeFillTint="99"/>
            <w:vAlign w:val="center"/>
          </w:tcPr>
          <w:p w14:paraId="2BAAC081" w14:textId="60A4E3D2" w:rsidR="009E0A77" w:rsidRPr="009E0A77" w:rsidRDefault="009E0A77" w:rsidP="000D06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E0A77">
              <w:rPr>
                <w:rFonts w:cstheme="minorHAnsi"/>
                <w:b/>
                <w:sz w:val="24"/>
                <w:szCs w:val="24"/>
              </w:rPr>
              <w:t>Institución a la que representa</w:t>
            </w:r>
          </w:p>
        </w:tc>
      </w:tr>
      <w:tr w:rsidR="009E0A77" w:rsidRPr="009E0A77" w14:paraId="25032259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0898A912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9ACF95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27E9E50F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04496F0D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35FA7A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21E28D4A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5305450B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36AA9D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5DE54247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0B530589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B080E59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508F6EB9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3F2C7682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CB3577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1E95D9DA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2997896C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7FC263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0F344E08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75D33A56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371FF26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653338BD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64A247EB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0ADF95C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0A77" w:rsidRPr="009E0A77" w14:paraId="3CEDC5C0" w14:textId="77777777" w:rsidTr="009E0A77">
        <w:trPr>
          <w:trHeight w:val="469"/>
        </w:trPr>
        <w:tc>
          <w:tcPr>
            <w:tcW w:w="3685" w:type="dxa"/>
            <w:vAlign w:val="center"/>
          </w:tcPr>
          <w:p w14:paraId="791497AD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60BD311" w14:textId="77777777" w:rsidR="009E0A77" w:rsidRPr="009E0A77" w:rsidRDefault="009E0A77" w:rsidP="003648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C82D72" w14:textId="77777777" w:rsidR="001C4F34" w:rsidRDefault="001C4F34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0D7503F4" w14:textId="77777777" w:rsidR="000C73B5" w:rsidRPr="009E0A77" w:rsidRDefault="000C73B5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028427F7" w14:textId="77777777" w:rsidR="001C4F34" w:rsidRPr="009E0A77" w:rsidRDefault="00C441E9" w:rsidP="006930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0A77">
        <w:rPr>
          <w:rFonts w:cstheme="minorHAnsi"/>
          <w:sz w:val="24"/>
          <w:szCs w:val="24"/>
        </w:rPr>
        <w:t xml:space="preserve">La aprobación </w:t>
      </w:r>
      <w:r w:rsidR="00693048" w:rsidRPr="009E0A77">
        <w:rPr>
          <w:rFonts w:cstheme="minorHAnsi"/>
          <w:sz w:val="24"/>
          <w:szCs w:val="24"/>
        </w:rPr>
        <w:t>está sujeta al cumplimiento de</w:t>
      </w:r>
      <w:r w:rsidRPr="009E0A77">
        <w:rPr>
          <w:rFonts w:cstheme="minorHAnsi"/>
          <w:sz w:val="24"/>
          <w:szCs w:val="24"/>
        </w:rPr>
        <w:t xml:space="preserve"> las siguientes responsabilidades </w:t>
      </w:r>
      <w:r w:rsidR="00693048" w:rsidRPr="009E0A77">
        <w:rPr>
          <w:rFonts w:cstheme="minorHAnsi"/>
          <w:sz w:val="24"/>
          <w:szCs w:val="24"/>
        </w:rPr>
        <w:t>d</w:t>
      </w:r>
      <w:r w:rsidRPr="009E0A77">
        <w:rPr>
          <w:rFonts w:cstheme="minorHAnsi"/>
          <w:sz w:val="24"/>
          <w:szCs w:val="24"/>
        </w:rPr>
        <w:t xml:space="preserve">el Investigador Principal, quien </w:t>
      </w:r>
      <w:r w:rsidR="00693048" w:rsidRPr="009E0A77">
        <w:rPr>
          <w:rFonts w:cstheme="minorHAnsi"/>
          <w:sz w:val="24"/>
          <w:szCs w:val="24"/>
        </w:rPr>
        <w:t>deberá</w:t>
      </w:r>
      <w:r w:rsidRPr="009E0A77">
        <w:rPr>
          <w:rFonts w:cstheme="minorHAnsi"/>
          <w:sz w:val="24"/>
          <w:szCs w:val="24"/>
        </w:rPr>
        <w:t xml:space="preserve"> velar y garantizar su cumplimiento durante el desarrollo del estudio</w:t>
      </w:r>
      <w:r w:rsidR="00693048" w:rsidRPr="009E0A77">
        <w:rPr>
          <w:rFonts w:cstheme="minorHAnsi"/>
          <w:sz w:val="24"/>
          <w:szCs w:val="24"/>
        </w:rPr>
        <w:t xml:space="preserve"> en el sitio de investigación a su cargo</w:t>
      </w:r>
      <w:r w:rsidRPr="009E0A77">
        <w:rPr>
          <w:rFonts w:cstheme="minorHAnsi"/>
          <w:sz w:val="24"/>
          <w:szCs w:val="24"/>
        </w:rPr>
        <w:t>:</w:t>
      </w:r>
    </w:p>
    <w:p w14:paraId="22FDCF07" w14:textId="77777777" w:rsidR="00C441E9" w:rsidRPr="009E0A77" w:rsidRDefault="00693048" w:rsidP="00693048">
      <w:pPr>
        <w:tabs>
          <w:tab w:val="left" w:pos="2344"/>
        </w:tabs>
        <w:spacing w:after="0" w:line="240" w:lineRule="auto"/>
        <w:rPr>
          <w:rFonts w:cstheme="minorHAnsi"/>
          <w:sz w:val="24"/>
          <w:szCs w:val="24"/>
        </w:rPr>
      </w:pPr>
      <w:r w:rsidRPr="009E0A77">
        <w:rPr>
          <w:rFonts w:cstheme="minorHAnsi"/>
          <w:sz w:val="24"/>
          <w:szCs w:val="24"/>
        </w:rPr>
        <w:tab/>
      </w:r>
    </w:p>
    <w:p w14:paraId="7DFBFE08" w14:textId="77777777" w:rsidR="00693048" w:rsidRPr="009E0A77" w:rsidRDefault="00693048" w:rsidP="005746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Conducir la investigación </w:t>
      </w:r>
      <w:proofErr w:type="gramStart"/>
      <w:r w:rsidRPr="009E0A77">
        <w:rPr>
          <w:rFonts w:cstheme="minorHAnsi"/>
          <w:i/>
          <w:sz w:val="24"/>
          <w:szCs w:val="24"/>
        </w:rPr>
        <w:t>de acuerdo al</w:t>
      </w:r>
      <w:proofErr w:type="gramEnd"/>
      <w:r w:rsidRPr="009E0A77">
        <w:rPr>
          <w:rFonts w:cstheme="minorHAnsi"/>
          <w:i/>
          <w:sz w:val="24"/>
          <w:szCs w:val="24"/>
        </w:rPr>
        <w:t xml:space="preserve"> protocolo aprobado.</w:t>
      </w:r>
    </w:p>
    <w:p w14:paraId="474D7C7B" w14:textId="77777777" w:rsidR="00693048" w:rsidRPr="009E0A77" w:rsidRDefault="00693048" w:rsidP="005746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Conducir la investigación en observancia a las Buenas Prácticas </w:t>
      </w:r>
      <w:r w:rsidR="00DF3291" w:rsidRPr="009E0A77">
        <w:rPr>
          <w:rFonts w:cstheme="minorHAnsi"/>
          <w:i/>
          <w:sz w:val="24"/>
          <w:szCs w:val="24"/>
        </w:rPr>
        <w:t>Clínicas</w:t>
      </w:r>
      <w:r w:rsidRPr="009E0A77">
        <w:rPr>
          <w:rFonts w:cstheme="minorHAnsi"/>
          <w:i/>
          <w:sz w:val="24"/>
          <w:szCs w:val="24"/>
        </w:rPr>
        <w:t>, regulaciones locales e internacionales aplicables.</w:t>
      </w:r>
    </w:p>
    <w:p w14:paraId="02AD5307" w14:textId="77777777" w:rsidR="00DF3291" w:rsidRPr="009E0A77" w:rsidRDefault="00DF3291" w:rsidP="005746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>Conducir la investigación en observancia a los acuerdos y condiciones establecidas durante el proceso de revisión y aprobación.</w:t>
      </w:r>
    </w:p>
    <w:p w14:paraId="4E56ECF0" w14:textId="77777777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>Delegar las funciones del estudio a personal calificado, con la experiencia y educación que respalden su capacidad para desempeñar las funciones delegadas.</w:t>
      </w:r>
    </w:p>
    <w:p w14:paraId="77CC9245" w14:textId="77777777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>Desarrollar y supervisar personalmente la investigación.</w:t>
      </w:r>
    </w:p>
    <w:p w14:paraId="7E146529" w14:textId="77777777" w:rsidR="00693048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Obtener aprobación del </w:t>
      </w:r>
      <w:r w:rsidR="000D06E0" w:rsidRPr="009E0A77">
        <w:rPr>
          <w:rFonts w:cstheme="minorHAnsi"/>
          <w:i/>
          <w:sz w:val="24"/>
          <w:szCs w:val="24"/>
        </w:rPr>
        <w:t>CNBI</w:t>
      </w:r>
      <w:r w:rsidRPr="009E0A77">
        <w:rPr>
          <w:rFonts w:cstheme="minorHAnsi"/>
          <w:i/>
          <w:sz w:val="24"/>
          <w:szCs w:val="24"/>
        </w:rPr>
        <w:t xml:space="preserve"> previo a incorporar cambios en el protocolo; exceptuando aquellos casos en que sea necesario para proteger la vida y seguridad del sujeto, estos casos deberán notificarse inmediatamente al </w:t>
      </w:r>
      <w:r w:rsidR="000D06E0" w:rsidRPr="009E0A77">
        <w:rPr>
          <w:rFonts w:cstheme="minorHAnsi"/>
          <w:i/>
          <w:sz w:val="24"/>
          <w:szCs w:val="24"/>
        </w:rPr>
        <w:t>CNBI</w:t>
      </w:r>
      <w:r w:rsidRPr="009E0A77">
        <w:rPr>
          <w:rFonts w:cstheme="minorHAnsi"/>
          <w:i/>
          <w:sz w:val="24"/>
          <w:szCs w:val="24"/>
        </w:rPr>
        <w:t>.</w:t>
      </w:r>
    </w:p>
    <w:p w14:paraId="6F79DF16" w14:textId="4AF272F0" w:rsidR="00693048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>Obtener y documentar adecuadamente el consentimiento informado de cada sujeto participante o potencialmente participando, haciendo uso de las formas vi</w:t>
      </w:r>
      <w:r w:rsidR="008029CF" w:rsidRPr="009E0A77">
        <w:rPr>
          <w:rFonts w:cstheme="minorHAnsi"/>
          <w:i/>
          <w:sz w:val="24"/>
          <w:szCs w:val="24"/>
        </w:rPr>
        <w:t>gentes aprobadas por el CN</w:t>
      </w:r>
      <w:r w:rsidR="009E0A77" w:rsidRPr="009E0A77">
        <w:rPr>
          <w:rFonts w:cstheme="minorHAnsi"/>
          <w:i/>
          <w:sz w:val="24"/>
          <w:szCs w:val="24"/>
        </w:rPr>
        <w:t>B</w:t>
      </w:r>
      <w:r w:rsidR="008029CF" w:rsidRPr="009E0A77">
        <w:rPr>
          <w:rFonts w:cstheme="minorHAnsi"/>
          <w:i/>
          <w:sz w:val="24"/>
          <w:szCs w:val="24"/>
        </w:rPr>
        <w:t>I</w:t>
      </w:r>
      <w:r w:rsidRPr="009E0A77">
        <w:rPr>
          <w:rFonts w:cstheme="minorHAnsi"/>
          <w:i/>
          <w:sz w:val="24"/>
          <w:szCs w:val="24"/>
        </w:rPr>
        <w:t>.</w:t>
      </w:r>
    </w:p>
    <w:p w14:paraId="31703F50" w14:textId="77777777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Reportar dentro de las 24 horas de conocimiento todo evento adverso serio ocurrido a los sujetos participantes en el sitio de investigación. </w:t>
      </w:r>
    </w:p>
    <w:p w14:paraId="3A399E54" w14:textId="40549A93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Reportar dentro de </w:t>
      </w:r>
      <w:r w:rsidR="00524293" w:rsidRPr="009E0A77">
        <w:rPr>
          <w:rFonts w:cstheme="minorHAnsi"/>
          <w:i/>
          <w:sz w:val="24"/>
          <w:szCs w:val="24"/>
        </w:rPr>
        <w:t>30</w:t>
      </w:r>
      <w:r w:rsidRPr="009E0A77">
        <w:rPr>
          <w:rFonts w:cstheme="minorHAnsi"/>
          <w:i/>
          <w:sz w:val="24"/>
          <w:szCs w:val="24"/>
        </w:rPr>
        <w:t xml:space="preserve"> días toda información de seguridad recibida del patrocinador.</w:t>
      </w:r>
    </w:p>
    <w:p w14:paraId="4F7BD42E" w14:textId="77777777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t xml:space="preserve">Presentar oportunamente los reportes </w:t>
      </w:r>
      <w:r w:rsidR="00A96DF9" w:rsidRPr="009E0A77">
        <w:rPr>
          <w:rFonts w:cstheme="minorHAnsi"/>
          <w:i/>
          <w:sz w:val="24"/>
          <w:szCs w:val="24"/>
        </w:rPr>
        <w:t>continuo</w:t>
      </w:r>
      <w:r w:rsidR="001966A0" w:rsidRPr="009E0A77">
        <w:rPr>
          <w:rFonts w:cstheme="minorHAnsi"/>
          <w:i/>
          <w:sz w:val="24"/>
          <w:szCs w:val="24"/>
        </w:rPr>
        <w:t>s</w:t>
      </w:r>
      <w:r w:rsidR="00A96DF9" w:rsidRPr="009E0A77">
        <w:rPr>
          <w:rFonts w:cstheme="minorHAnsi"/>
          <w:i/>
          <w:sz w:val="24"/>
          <w:szCs w:val="24"/>
        </w:rPr>
        <w:t xml:space="preserve"> y final</w:t>
      </w:r>
      <w:r w:rsidRPr="009E0A77">
        <w:rPr>
          <w:rFonts w:cstheme="minorHAnsi"/>
          <w:i/>
          <w:sz w:val="24"/>
          <w:szCs w:val="24"/>
        </w:rPr>
        <w:t xml:space="preserve"> del desarrollo de la investigación. </w:t>
      </w:r>
    </w:p>
    <w:p w14:paraId="5C87D67B" w14:textId="77777777" w:rsidR="00DF3291" w:rsidRPr="009E0A77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E0A77">
        <w:rPr>
          <w:rFonts w:cstheme="minorHAnsi"/>
          <w:i/>
          <w:sz w:val="24"/>
          <w:szCs w:val="24"/>
        </w:rPr>
        <w:lastRenderedPageBreak/>
        <w:t xml:space="preserve">Recibir y atender las visitas del </w:t>
      </w:r>
      <w:r w:rsidR="000D06E0" w:rsidRPr="009E0A77">
        <w:rPr>
          <w:rFonts w:cstheme="minorHAnsi"/>
          <w:i/>
          <w:sz w:val="24"/>
          <w:szCs w:val="24"/>
        </w:rPr>
        <w:t>CNBI</w:t>
      </w:r>
      <w:r w:rsidRPr="009E0A77">
        <w:rPr>
          <w:rFonts w:cstheme="minorHAnsi"/>
          <w:i/>
          <w:sz w:val="24"/>
          <w:szCs w:val="24"/>
        </w:rPr>
        <w:t xml:space="preserve"> al sitio de investigación cuando lo solicite.</w:t>
      </w:r>
    </w:p>
    <w:p w14:paraId="623C0A7E" w14:textId="77777777" w:rsidR="00DF3291" w:rsidRDefault="00DF3291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24293">
        <w:rPr>
          <w:rFonts w:cstheme="minorHAnsi"/>
          <w:i/>
          <w:sz w:val="24"/>
          <w:szCs w:val="24"/>
        </w:rPr>
        <w:t xml:space="preserve">Atender los requerimientos del </w:t>
      </w:r>
      <w:r w:rsidR="000D06E0" w:rsidRPr="00524293">
        <w:rPr>
          <w:rFonts w:cstheme="minorHAnsi"/>
          <w:i/>
          <w:sz w:val="24"/>
          <w:szCs w:val="24"/>
        </w:rPr>
        <w:t>CNBI</w:t>
      </w:r>
      <w:r w:rsidRPr="00524293">
        <w:rPr>
          <w:rFonts w:cstheme="minorHAnsi"/>
          <w:i/>
          <w:sz w:val="24"/>
          <w:szCs w:val="24"/>
        </w:rPr>
        <w:t xml:space="preserve"> relacionados al desarrollo de la investigación u otros aplicables a la conducción de estudios clínicos en sitios de investigación.</w:t>
      </w:r>
    </w:p>
    <w:p w14:paraId="3E0B2BF9" w14:textId="517353F1" w:rsidR="00A502E9" w:rsidRPr="00524293" w:rsidRDefault="00A502E9" w:rsidP="00DF329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Cumplir con el seguimiento ante el Ministerio de Salud, a través de la plataforma RESEGIS.</w:t>
      </w:r>
    </w:p>
    <w:p w14:paraId="346B6D80" w14:textId="77777777" w:rsidR="00C441E9" w:rsidRPr="00524293" w:rsidRDefault="00C441E9" w:rsidP="00DF3291">
      <w:pPr>
        <w:pStyle w:val="Prrafodelista"/>
        <w:spacing w:after="0" w:line="240" w:lineRule="auto"/>
        <w:rPr>
          <w:rFonts w:cstheme="minorHAnsi"/>
          <w:i/>
          <w:sz w:val="24"/>
          <w:szCs w:val="24"/>
        </w:rPr>
      </w:pPr>
    </w:p>
    <w:p w14:paraId="1854864B" w14:textId="32B49CEF" w:rsidR="0021413B" w:rsidRPr="00524293" w:rsidRDefault="0021413B" w:rsidP="0021413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24293">
        <w:rPr>
          <w:rFonts w:cstheme="minorHAnsi"/>
          <w:b/>
          <w:i/>
          <w:sz w:val="24"/>
          <w:szCs w:val="24"/>
        </w:rPr>
        <w:t xml:space="preserve">Por este medio se certifica que la información arriba descrita es fiel y verdadera según se refleja en los archivos y documentación del Comité Nacional de </w:t>
      </w:r>
      <w:r w:rsidR="00EE37B4">
        <w:rPr>
          <w:rFonts w:cstheme="minorHAnsi"/>
          <w:b/>
          <w:i/>
          <w:sz w:val="24"/>
          <w:szCs w:val="24"/>
        </w:rPr>
        <w:t>Bioé</w:t>
      </w:r>
      <w:r w:rsidRPr="00524293">
        <w:rPr>
          <w:rFonts w:cstheme="minorHAnsi"/>
          <w:b/>
          <w:i/>
          <w:sz w:val="24"/>
          <w:szCs w:val="24"/>
        </w:rPr>
        <w:t xml:space="preserve">tica de la Investigación de </w:t>
      </w:r>
      <w:r w:rsidR="00524293" w:rsidRPr="00524293">
        <w:rPr>
          <w:rFonts w:cstheme="minorHAnsi"/>
          <w:b/>
          <w:i/>
          <w:sz w:val="24"/>
          <w:szCs w:val="24"/>
        </w:rPr>
        <w:t>Panamá</w:t>
      </w:r>
      <w:r w:rsidRPr="00524293">
        <w:rPr>
          <w:rFonts w:cstheme="minorHAnsi"/>
          <w:b/>
          <w:i/>
          <w:sz w:val="24"/>
          <w:szCs w:val="24"/>
        </w:rPr>
        <w:t xml:space="preserve">. </w:t>
      </w:r>
    </w:p>
    <w:p w14:paraId="7DB0A6F6" w14:textId="77777777" w:rsidR="0021413B" w:rsidRPr="00524293" w:rsidRDefault="0021413B" w:rsidP="0021413B">
      <w:pPr>
        <w:spacing w:after="0" w:line="240" w:lineRule="auto"/>
        <w:rPr>
          <w:rFonts w:cstheme="minorHAnsi"/>
          <w:sz w:val="24"/>
          <w:szCs w:val="24"/>
        </w:rPr>
      </w:pPr>
    </w:p>
    <w:p w14:paraId="55F8411A" w14:textId="77777777" w:rsidR="00980C05" w:rsidRPr="00524293" w:rsidRDefault="00980C05" w:rsidP="00000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E65398" w14:textId="77777777" w:rsidR="00CF2529" w:rsidRDefault="00CF2529" w:rsidP="00000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731564" w14:textId="77777777" w:rsidR="006B3416" w:rsidRPr="00524293" w:rsidRDefault="006B3416" w:rsidP="00000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1BD32" w14:textId="10B6B54D" w:rsidR="000004B3" w:rsidRPr="00524293" w:rsidRDefault="00EE37B4" w:rsidP="00000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Nombre</w:t>
      </w:r>
    </w:p>
    <w:p w14:paraId="5363EBDF" w14:textId="7B78C36A" w:rsidR="00B05753" w:rsidRDefault="000004B3" w:rsidP="00000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24293">
        <w:rPr>
          <w:rFonts w:cstheme="minorHAnsi"/>
          <w:b/>
          <w:sz w:val="24"/>
          <w:szCs w:val="24"/>
        </w:rPr>
        <w:t>Presidente del CN</w:t>
      </w:r>
      <w:r w:rsidR="00524293">
        <w:rPr>
          <w:rFonts w:cstheme="minorHAnsi"/>
          <w:b/>
          <w:sz w:val="24"/>
          <w:szCs w:val="24"/>
        </w:rPr>
        <w:t>BI</w:t>
      </w:r>
    </w:p>
    <w:p w14:paraId="7D4ABDE3" w14:textId="77777777" w:rsidR="000C73B5" w:rsidRDefault="000C73B5" w:rsidP="00000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1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65CA8" w:rsidRPr="00D23135" w14:paraId="7D24934B" w14:textId="77777777" w:rsidTr="007866F8">
        <w:tc>
          <w:tcPr>
            <w:tcW w:w="10201" w:type="dxa"/>
            <w:shd w:val="clear" w:color="auto" w:fill="C2D69B" w:themeFill="accent3" w:themeFillTint="99"/>
            <w:vAlign w:val="center"/>
          </w:tcPr>
          <w:p w14:paraId="7D428CE8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6"/>
        <w:gridCol w:w="5241"/>
        <w:gridCol w:w="1701"/>
      </w:tblGrid>
      <w:tr w:rsidR="00D65CA8" w:rsidRPr="00D23135" w14:paraId="60500999" w14:textId="77777777" w:rsidTr="00D65CA8">
        <w:tc>
          <w:tcPr>
            <w:tcW w:w="1413" w:type="dxa"/>
            <w:shd w:val="clear" w:color="auto" w:fill="C2D69B" w:themeFill="accent3" w:themeFillTint="99"/>
            <w:vAlign w:val="center"/>
          </w:tcPr>
          <w:p w14:paraId="7F339D8D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1846" w:type="dxa"/>
            <w:shd w:val="clear" w:color="auto" w:fill="C2D69B" w:themeFill="accent3" w:themeFillTint="99"/>
            <w:vAlign w:val="center"/>
          </w:tcPr>
          <w:p w14:paraId="7A302D6B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5241" w:type="dxa"/>
            <w:shd w:val="clear" w:color="auto" w:fill="C2D69B" w:themeFill="accent3" w:themeFillTint="99"/>
            <w:vAlign w:val="center"/>
          </w:tcPr>
          <w:p w14:paraId="254B642C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84EC107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D65CA8" w:rsidRPr="00D23135" w14:paraId="580749A2" w14:textId="77777777" w:rsidTr="00D65CA8">
        <w:tc>
          <w:tcPr>
            <w:tcW w:w="1413" w:type="dxa"/>
            <w:vAlign w:val="center"/>
          </w:tcPr>
          <w:p w14:paraId="798D2D89" w14:textId="4432BCB4" w:rsidR="00D65CA8" w:rsidRDefault="00D65CA8" w:rsidP="007866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 de abril de 2026</w:t>
            </w:r>
          </w:p>
        </w:tc>
        <w:tc>
          <w:tcPr>
            <w:tcW w:w="1846" w:type="dxa"/>
            <w:vAlign w:val="center"/>
          </w:tcPr>
          <w:p w14:paraId="3818E3BF" w14:textId="285E16A4" w:rsidR="00D65CA8" w:rsidRDefault="00D65CA8" w:rsidP="007866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Versión 1.4</w:t>
            </w:r>
          </w:p>
          <w:p w14:paraId="2DE5DD58" w14:textId="79653A96" w:rsidR="00D65CA8" w:rsidRDefault="00D65CA8" w:rsidP="007866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Marzo 2021</w:t>
            </w:r>
          </w:p>
        </w:tc>
        <w:tc>
          <w:tcPr>
            <w:tcW w:w="5241" w:type="dxa"/>
            <w:vAlign w:val="center"/>
          </w:tcPr>
          <w:p w14:paraId="66695355" w14:textId="6445F8EB" w:rsidR="00D65CA8" w:rsidRPr="009736E5" w:rsidRDefault="00D65CA8" w:rsidP="007866F8">
            <w:pPr>
              <w:jc w:val="both"/>
              <w:rPr>
                <w:sz w:val="24"/>
                <w:szCs w:val="24"/>
              </w:rPr>
            </w:pPr>
            <w:r w:rsidRPr="009736E5">
              <w:rPr>
                <w:rFonts w:cstheme="minorHAnsi"/>
                <w:sz w:val="24"/>
                <w:szCs w:val="24"/>
              </w:rPr>
              <w:t xml:space="preserve">Actualización y cambios mayores. Se eliminó el texto </w:t>
            </w:r>
            <w:r w:rsidR="00175797" w:rsidRPr="009736E5">
              <w:rPr>
                <w:rFonts w:cstheme="minorHAnsi"/>
                <w:sz w:val="24"/>
                <w:szCs w:val="24"/>
              </w:rPr>
              <w:t xml:space="preserve">de la versión anterior </w:t>
            </w:r>
            <w:r w:rsidRPr="009736E5">
              <w:rPr>
                <w:rFonts w:cstheme="minorHAnsi"/>
                <w:sz w:val="24"/>
                <w:szCs w:val="24"/>
              </w:rPr>
              <w:t xml:space="preserve">para alinear con el nuevo decreto ejecutivo No. 21 de 2026: </w:t>
            </w:r>
            <w:r w:rsidR="009736E5" w:rsidRPr="009736E5">
              <w:rPr>
                <w:rFonts w:cstheme="minorHAnsi"/>
                <w:sz w:val="24"/>
                <w:szCs w:val="24"/>
              </w:rPr>
              <w:t>“</w:t>
            </w:r>
            <w:r w:rsidRPr="009736E5">
              <w:rPr>
                <w:rFonts w:cstheme="minorHAnsi"/>
                <w:sz w:val="24"/>
                <w:szCs w:val="24"/>
              </w:rPr>
              <w:t>Aprobar / Solicitud de modificaciones mínimas para aprobación</w:t>
            </w:r>
            <w:r w:rsidR="009736E5" w:rsidRPr="009736E5">
              <w:rPr>
                <w:rFonts w:cstheme="minorHAnsi"/>
                <w:sz w:val="24"/>
                <w:szCs w:val="24"/>
              </w:rPr>
              <w:t>”.</w:t>
            </w:r>
          </w:p>
        </w:tc>
        <w:tc>
          <w:tcPr>
            <w:tcW w:w="1701" w:type="dxa"/>
            <w:vAlign w:val="center"/>
          </w:tcPr>
          <w:p w14:paraId="71AEBFF7" w14:textId="77777777" w:rsidR="00D65CA8" w:rsidRDefault="00D65CA8" w:rsidP="007866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Revisión general de POE y PT</w:t>
            </w:r>
          </w:p>
        </w:tc>
      </w:tr>
    </w:tbl>
    <w:p w14:paraId="74681646" w14:textId="77777777" w:rsidR="00D65CA8" w:rsidRPr="00736F57" w:rsidRDefault="00D65CA8" w:rsidP="00D65CA8">
      <w:pPr>
        <w:spacing w:after="0"/>
        <w:rPr>
          <w:rFonts w:cstheme="minorHAnsi"/>
          <w:sz w:val="6"/>
          <w:szCs w:val="6"/>
        </w:rPr>
      </w:pPr>
    </w:p>
    <w:tbl>
      <w:tblPr>
        <w:tblStyle w:val="Tablaconcuadrcula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37"/>
        <w:gridCol w:w="3583"/>
      </w:tblGrid>
      <w:tr w:rsidR="00D65CA8" w:rsidRPr="00D23135" w14:paraId="16808F9F" w14:textId="77777777" w:rsidTr="007866F8">
        <w:tc>
          <w:tcPr>
            <w:tcW w:w="10201" w:type="dxa"/>
            <w:gridSpan w:val="3"/>
            <w:shd w:val="clear" w:color="auto" w:fill="C2D69B" w:themeFill="accent3" w:themeFillTint="99"/>
            <w:vAlign w:val="center"/>
          </w:tcPr>
          <w:p w14:paraId="582B76FC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25C7">
              <w:rPr>
                <w:rFonts w:cstheme="minorHAnsi"/>
                <w:b/>
                <w:bCs/>
                <w:sz w:val="24"/>
                <w:szCs w:val="24"/>
              </w:rPr>
              <w:t>Preparado o modificado por</w:t>
            </w:r>
          </w:p>
        </w:tc>
      </w:tr>
      <w:tr w:rsidR="00D65CA8" w:rsidRPr="00D23135" w14:paraId="14610527" w14:textId="77777777" w:rsidTr="007866F8">
        <w:tc>
          <w:tcPr>
            <w:tcW w:w="3681" w:type="dxa"/>
            <w:shd w:val="clear" w:color="auto" w:fill="C2D69B" w:themeFill="accent3" w:themeFillTint="99"/>
            <w:vAlign w:val="center"/>
          </w:tcPr>
          <w:p w14:paraId="5D1273B8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937" w:type="dxa"/>
            <w:shd w:val="clear" w:color="auto" w:fill="C2D69B" w:themeFill="accent3" w:themeFillTint="99"/>
            <w:vAlign w:val="center"/>
          </w:tcPr>
          <w:p w14:paraId="27EE3316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3583" w:type="dxa"/>
            <w:shd w:val="clear" w:color="auto" w:fill="C2D69B" w:themeFill="accent3" w:themeFillTint="99"/>
            <w:vAlign w:val="center"/>
          </w:tcPr>
          <w:p w14:paraId="782A9347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D65CA8" w:rsidRPr="00D23135" w14:paraId="2F10DBE6" w14:textId="77777777" w:rsidTr="007866F8">
        <w:trPr>
          <w:trHeight w:val="469"/>
        </w:trPr>
        <w:tc>
          <w:tcPr>
            <w:tcW w:w="3681" w:type="dxa"/>
            <w:vAlign w:val="center"/>
          </w:tcPr>
          <w:p w14:paraId="690F7478" w14:textId="77777777" w:rsidR="00D65CA8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Dra. Rita Tello</w:t>
            </w:r>
          </w:p>
          <w:p w14:paraId="10F40E7E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Miembro del CNBI</w:t>
            </w:r>
          </w:p>
        </w:tc>
        <w:tc>
          <w:tcPr>
            <w:tcW w:w="2937" w:type="dxa"/>
            <w:vAlign w:val="center"/>
          </w:tcPr>
          <w:p w14:paraId="7DDCA4A7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14:paraId="14A5934E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5CA8" w:rsidRPr="00D23135" w14:paraId="47A5A942" w14:textId="77777777" w:rsidTr="007866F8">
        <w:tc>
          <w:tcPr>
            <w:tcW w:w="10201" w:type="dxa"/>
            <w:gridSpan w:val="3"/>
            <w:shd w:val="clear" w:color="auto" w:fill="C2D69B" w:themeFill="accent3" w:themeFillTint="99"/>
            <w:vAlign w:val="center"/>
          </w:tcPr>
          <w:p w14:paraId="34D0C1C0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325C7">
              <w:rPr>
                <w:rFonts w:cstheme="minorHAnsi"/>
                <w:b/>
                <w:bCs/>
                <w:sz w:val="24"/>
                <w:szCs w:val="24"/>
              </w:rPr>
              <w:t>Revisado y aprobado por el CNBI</w:t>
            </w:r>
          </w:p>
        </w:tc>
      </w:tr>
      <w:tr w:rsidR="00D65CA8" w:rsidRPr="00D23135" w14:paraId="25CAF9ED" w14:textId="77777777" w:rsidTr="007866F8">
        <w:tc>
          <w:tcPr>
            <w:tcW w:w="3681" w:type="dxa"/>
            <w:shd w:val="clear" w:color="auto" w:fill="C2D69B" w:themeFill="accent3" w:themeFillTint="99"/>
            <w:vAlign w:val="center"/>
          </w:tcPr>
          <w:p w14:paraId="395B1FE5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937" w:type="dxa"/>
            <w:shd w:val="clear" w:color="auto" w:fill="C2D69B" w:themeFill="accent3" w:themeFillTint="99"/>
            <w:vAlign w:val="center"/>
          </w:tcPr>
          <w:p w14:paraId="77E362A3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3583" w:type="dxa"/>
            <w:shd w:val="clear" w:color="auto" w:fill="C2D69B" w:themeFill="accent3" w:themeFillTint="99"/>
            <w:vAlign w:val="center"/>
          </w:tcPr>
          <w:p w14:paraId="694C0E3C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135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D65CA8" w:rsidRPr="00D23135" w14:paraId="1853CF54" w14:textId="77777777" w:rsidTr="007866F8">
        <w:trPr>
          <w:trHeight w:val="469"/>
        </w:trPr>
        <w:tc>
          <w:tcPr>
            <w:tcW w:w="3681" w:type="dxa"/>
            <w:vAlign w:val="center"/>
          </w:tcPr>
          <w:p w14:paraId="76E2C2AD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Luis Coronado</w:t>
            </w:r>
          </w:p>
          <w:p w14:paraId="74534EEC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23135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2937" w:type="dxa"/>
            <w:vAlign w:val="center"/>
          </w:tcPr>
          <w:p w14:paraId="3B07991D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14:paraId="2D89BE3C" w14:textId="77777777" w:rsidR="00D65CA8" w:rsidRPr="00D23135" w:rsidRDefault="00D65CA8" w:rsidP="007866F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B185FA" w14:textId="77777777" w:rsidR="000C73B5" w:rsidRDefault="000C73B5" w:rsidP="000004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0C73B5" w:rsidSect="00487ECD">
      <w:headerReference w:type="default" r:id="rId7"/>
      <w:footerReference w:type="default" r:id="rId8"/>
      <w:pgSz w:w="12240" w:h="15840"/>
      <w:pgMar w:top="1417" w:right="900" w:bottom="190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1E77" w14:textId="77777777" w:rsidR="00773929" w:rsidRDefault="00773929" w:rsidP="00CA4235">
      <w:pPr>
        <w:spacing w:after="0" w:line="240" w:lineRule="auto"/>
      </w:pPr>
      <w:r>
        <w:separator/>
      </w:r>
    </w:p>
  </w:endnote>
  <w:endnote w:type="continuationSeparator" w:id="0">
    <w:p w14:paraId="54985B87" w14:textId="77777777" w:rsidR="00773929" w:rsidRDefault="00773929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1191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</w:p>
  <w:p w14:paraId="3192D9DE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</w:rPr>
      <w:t>Propiedad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del Comité Nacional de </w:t>
    </w:r>
    <w:r w:rsidR="000D06E0">
      <w:rPr>
        <w:rFonts w:ascii="Arial" w:hAnsi="Arial" w:cs="Arial"/>
        <w:i/>
        <w:color w:val="000000" w:themeColor="text1"/>
        <w:sz w:val="16"/>
        <w:szCs w:val="16"/>
      </w:rPr>
      <w:t>Bioética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 la</w:t>
    </w:r>
    <w:r w:rsidR="000D06E0">
      <w:rPr>
        <w:rFonts w:ascii="Arial" w:hAnsi="Arial" w:cs="Arial"/>
        <w:i/>
        <w:color w:val="000000" w:themeColor="text1"/>
        <w:sz w:val="16"/>
        <w:szCs w:val="16"/>
      </w:rPr>
      <w:t xml:space="preserve"> Investigación</w:t>
    </w:r>
  </w:p>
  <w:p w14:paraId="69BCEC98" w14:textId="6DD3C44C" w:rsidR="00551BD2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3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0FCD5FFC" w14:textId="77777777" w:rsidR="00551BD2" w:rsidRPr="0060493A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FF53" w14:textId="77777777" w:rsidR="00773929" w:rsidRDefault="00773929" w:rsidP="00CA4235">
      <w:pPr>
        <w:spacing w:after="0" w:line="240" w:lineRule="auto"/>
      </w:pPr>
      <w:r>
        <w:separator/>
      </w:r>
    </w:p>
  </w:footnote>
  <w:footnote w:type="continuationSeparator" w:id="0">
    <w:p w14:paraId="70D325A5" w14:textId="77777777" w:rsidR="00773929" w:rsidRDefault="00773929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5"/>
      <w:gridCol w:w="7723"/>
    </w:tblGrid>
    <w:tr w:rsidR="00D76422" w:rsidRPr="00E1097E" w14:paraId="71B245E9" w14:textId="77777777" w:rsidTr="00D82F6B">
      <w:trPr>
        <w:trHeight w:val="1130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CDBBF2A" w14:textId="77777777" w:rsidR="00D76422" w:rsidRPr="00E1097E" w:rsidRDefault="00D76422" w:rsidP="00D76422">
          <w:pPr>
            <w:pStyle w:val="Piedepgina"/>
            <w:jc w:val="center"/>
            <w:rPr>
              <w:rFonts w:cs="Arial"/>
              <w:b/>
              <w:noProof/>
              <w:sz w:val="24"/>
              <w:szCs w:val="24"/>
              <w:lang w:eastAsia="es-MX"/>
            </w:rPr>
          </w:pPr>
          <w:r w:rsidRPr="00E1097E">
            <w:rPr>
              <w:rFonts w:cs="Arial"/>
              <w:b/>
              <w:noProof/>
              <w:sz w:val="24"/>
              <w:szCs w:val="24"/>
              <w:lang w:val="es-PA" w:eastAsia="es-PA"/>
            </w:rPr>
            <w:drawing>
              <wp:anchor distT="0" distB="0" distL="114300" distR="114300" simplePos="0" relativeHeight="251664384" behindDoc="0" locked="0" layoutInCell="1" allowOverlap="1" wp14:anchorId="357DA5F1" wp14:editId="3053DF06">
                <wp:simplePos x="0" y="0"/>
                <wp:positionH relativeFrom="column">
                  <wp:posOffset>214630</wp:posOffset>
                </wp:positionH>
                <wp:positionV relativeFrom="paragraph">
                  <wp:posOffset>12065</wp:posOffset>
                </wp:positionV>
                <wp:extent cx="1146810" cy="640080"/>
                <wp:effectExtent l="19050" t="0" r="0" b="0"/>
                <wp:wrapNone/>
                <wp:docPr id="2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416841" w14:textId="77777777" w:rsidR="00D76422" w:rsidRPr="00E1097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E1097E">
            <w:rPr>
              <w:rFonts w:cs="Arial"/>
              <w:b/>
              <w:sz w:val="24"/>
              <w:szCs w:val="24"/>
            </w:rPr>
            <w:t xml:space="preserve"> </w:t>
          </w:r>
        </w:p>
        <w:p w14:paraId="29494FB8" w14:textId="77777777" w:rsidR="00D76422" w:rsidRPr="00E1097E" w:rsidRDefault="00D76422" w:rsidP="00D76422">
          <w:pPr>
            <w:pStyle w:val="Piedepgina"/>
            <w:jc w:val="center"/>
            <w:rPr>
              <w:rFonts w:cs="Arial"/>
              <w:b/>
              <w:noProof/>
              <w:sz w:val="24"/>
              <w:szCs w:val="24"/>
              <w:lang w:eastAsia="es-MX"/>
            </w:rPr>
          </w:pPr>
          <w:r w:rsidRPr="00E1097E">
            <w:rPr>
              <w:rFonts w:cs="Arial"/>
              <w:b/>
              <w:sz w:val="24"/>
              <w:szCs w:val="24"/>
            </w:rPr>
            <w:t>Comité Nacional de Bioética de la Investigación de Panamá</w:t>
          </w:r>
          <w:r w:rsidRPr="00E1097E">
            <w:rPr>
              <w:rFonts w:cs="Arial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7C8411F8" w14:textId="77777777" w:rsidR="00D76422" w:rsidRPr="00E1097E" w:rsidRDefault="00D76422" w:rsidP="00D76422">
          <w:pPr>
            <w:pStyle w:val="Piedepgina"/>
            <w:ind w:left="884" w:hanging="884"/>
            <w:jc w:val="center"/>
            <w:rPr>
              <w:rFonts w:cs="Arial"/>
              <w:b/>
              <w:sz w:val="24"/>
              <w:szCs w:val="24"/>
            </w:rPr>
          </w:pPr>
          <w:r w:rsidRPr="00E1097E">
            <w:rPr>
              <w:rFonts w:cs="Arial"/>
              <w:b/>
              <w:sz w:val="24"/>
              <w:szCs w:val="24"/>
            </w:rPr>
            <w:t>Plantilla de Trabajo</w:t>
          </w:r>
        </w:p>
      </w:tc>
    </w:tr>
    <w:tr w:rsidR="00D76422" w:rsidRPr="00E1097E" w14:paraId="535CB461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5F30EE5C" w14:textId="042AC77B" w:rsidR="00D76422" w:rsidRPr="00E1097E" w:rsidRDefault="00D76422" w:rsidP="00D76422">
          <w:pPr>
            <w:pStyle w:val="Piedepgina"/>
            <w:jc w:val="center"/>
            <w:rPr>
              <w:rFonts w:cstheme="minorHAnsi"/>
              <w:sz w:val="24"/>
              <w:szCs w:val="24"/>
            </w:rPr>
          </w:pPr>
          <w:r w:rsidRPr="00E1097E">
            <w:rPr>
              <w:rFonts w:cstheme="minorHAnsi"/>
              <w:b/>
              <w:sz w:val="24"/>
              <w:szCs w:val="24"/>
            </w:rPr>
            <w:t>Código:</w:t>
          </w:r>
          <w:r w:rsidRPr="00E1097E">
            <w:rPr>
              <w:rFonts w:cstheme="minorHAnsi"/>
              <w:sz w:val="24"/>
              <w:szCs w:val="24"/>
            </w:rPr>
            <w:t xml:space="preserve"> </w:t>
          </w:r>
          <w:r w:rsidRPr="00E1097E">
            <w:rPr>
              <w:rFonts w:cstheme="minorHAnsi"/>
              <w:b/>
              <w:sz w:val="24"/>
              <w:szCs w:val="24"/>
            </w:rPr>
            <w:t>PT-023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A0EACE" w14:textId="000EDC1F" w:rsidR="00D76422" w:rsidRPr="00E1097E" w:rsidRDefault="00D76422" w:rsidP="00D76422">
          <w:pPr>
            <w:rPr>
              <w:rFonts w:cstheme="minorHAnsi"/>
              <w:b/>
              <w:sz w:val="24"/>
              <w:szCs w:val="24"/>
            </w:rPr>
          </w:pPr>
          <w:r w:rsidRPr="00E1097E">
            <w:rPr>
              <w:rFonts w:cstheme="minorHAnsi"/>
              <w:b/>
              <w:sz w:val="24"/>
              <w:szCs w:val="24"/>
            </w:rPr>
            <w:t>Título: Aprobación</w:t>
          </w:r>
          <w:r w:rsidR="00415CE1" w:rsidRPr="00E1097E">
            <w:rPr>
              <w:rFonts w:cstheme="minorHAnsi"/>
              <w:b/>
              <w:sz w:val="24"/>
              <w:szCs w:val="24"/>
            </w:rPr>
            <w:t xml:space="preserve"> </w:t>
          </w:r>
          <w:r w:rsidRPr="00E1097E">
            <w:rPr>
              <w:rFonts w:cstheme="minorHAnsi"/>
              <w:b/>
              <w:sz w:val="24"/>
              <w:szCs w:val="24"/>
            </w:rPr>
            <w:t xml:space="preserve">de Protocolo </w:t>
          </w:r>
        </w:p>
      </w:tc>
    </w:tr>
    <w:tr w:rsidR="00D76422" w:rsidRPr="00E1097E" w14:paraId="4C60B7F2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680DB62" w14:textId="66DEBC41" w:rsidR="00D76422" w:rsidRPr="00E1097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E1097E">
            <w:rPr>
              <w:rFonts w:cs="Arial"/>
              <w:b/>
              <w:sz w:val="24"/>
              <w:szCs w:val="24"/>
            </w:rPr>
            <w:t xml:space="preserve">Versión: </w:t>
          </w:r>
          <w:r w:rsidR="00F66F16" w:rsidRPr="00E1097E">
            <w:rPr>
              <w:rFonts w:cs="Arial"/>
              <w:b/>
              <w:sz w:val="24"/>
              <w:szCs w:val="24"/>
            </w:rPr>
            <w:t>2.0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6D18E4" w14:textId="0512B582" w:rsidR="00D76422" w:rsidRPr="00E1097E" w:rsidRDefault="00D76422" w:rsidP="00D76422">
          <w:pPr>
            <w:rPr>
              <w:sz w:val="24"/>
              <w:szCs w:val="24"/>
            </w:rPr>
          </w:pPr>
          <w:r w:rsidRPr="00E1097E">
            <w:rPr>
              <w:sz w:val="24"/>
              <w:szCs w:val="24"/>
            </w:rPr>
            <w:t xml:space="preserve"> Fecha: </w:t>
          </w:r>
          <w:r w:rsidR="00F66F16" w:rsidRPr="00E1097E">
            <w:rPr>
              <w:sz w:val="24"/>
              <w:szCs w:val="24"/>
            </w:rPr>
            <w:t>28 de abril de</w:t>
          </w:r>
          <w:r w:rsidR="00EE37B4" w:rsidRPr="00E1097E">
            <w:rPr>
              <w:sz w:val="24"/>
              <w:szCs w:val="24"/>
            </w:rPr>
            <w:t xml:space="preserve"> 202</w:t>
          </w:r>
          <w:r w:rsidR="00F66F16" w:rsidRPr="00E1097E">
            <w:rPr>
              <w:sz w:val="24"/>
              <w:szCs w:val="24"/>
            </w:rPr>
            <w:t>6</w:t>
          </w:r>
        </w:p>
      </w:tc>
    </w:tr>
  </w:tbl>
  <w:p w14:paraId="625D84CB" w14:textId="77777777" w:rsidR="00D76422" w:rsidRDefault="00D76422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FD2"/>
    <w:multiLevelType w:val="hybridMultilevel"/>
    <w:tmpl w:val="8648010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14C"/>
    <w:multiLevelType w:val="hybridMultilevel"/>
    <w:tmpl w:val="6388F4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F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F318F5"/>
    <w:multiLevelType w:val="hybridMultilevel"/>
    <w:tmpl w:val="6ABAF4A6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2648">
    <w:abstractNumId w:val="2"/>
  </w:num>
  <w:num w:numId="2" w16cid:durableId="974528414">
    <w:abstractNumId w:val="1"/>
  </w:num>
  <w:num w:numId="3" w16cid:durableId="1920747248">
    <w:abstractNumId w:val="3"/>
  </w:num>
  <w:num w:numId="4" w16cid:durableId="1751199247">
    <w:abstractNumId w:val="4"/>
  </w:num>
  <w:num w:numId="5" w16cid:durableId="230166780">
    <w:abstractNumId w:val="5"/>
  </w:num>
  <w:num w:numId="6" w16cid:durableId="1253860021">
    <w:abstractNumId w:val="0"/>
  </w:num>
  <w:num w:numId="7" w16cid:durableId="1190799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04B3"/>
    <w:rsid w:val="00025B07"/>
    <w:rsid w:val="00051B6C"/>
    <w:rsid w:val="000673A1"/>
    <w:rsid w:val="0007174C"/>
    <w:rsid w:val="00082A00"/>
    <w:rsid w:val="000A287B"/>
    <w:rsid w:val="000A6821"/>
    <w:rsid w:val="000C52F8"/>
    <w:rsid w:val="000C73B5"/>
    <w:rsid w:val="000D06E0"/>
    <w:rsid w:val="000D10DC"/>
    <w:rsid w:val="000D460E"/>
    <w:rsid w:val="000D48D1"/>
    <w:rsid w:val="000E2EB0"/>
    <w:rsid w:val="001004E8"/>
    <w:rsid w:val="001077E0"/>
    <w:rsid w:val="0013080A"/>
    <w:rsid w:val="001335DF"/>
    <w:rsid w:val="00135BB1"/>
    <w:rsid w:val="00145E6C"/>
    <w:rsid w:val="001546EB"/>
    <w:rsid w:val="00161B66"/>
    <w:rsid w:val="00173320"/>
    <w:rsid w:val="00175797"/>
    <w:rsid w:val="0019003E"/>
    <w:rsid w:val="001966A0"/>
    <w:rsid w:val="001B3757"/>
    <w:rsid w:val="001B7362"/>
    <w:rsid w:val="001C4F34"/>
    <w:rsid w:val="001C6FE0"/>
    <w:rsid w:val="001C792B"/>
    <w:rsid w:val="001E01FF"/>
    <w:rsid w:val="001F65FC"/>
    <w:rsid w:val="00204DC0"/>
    <w:rsid w:val="0021413B"/>
    <w:rsid w:val="0025754F"/>
    <w:rsid w:val="00260AFC"/>
    <w:rsid w:val="0027027A"/>
    <w:rsid w:val="002725F4"/>
    <w:rsid w:val="00273F00"/>
    <w:rsid w:val="00287760"/>
    <w:rsid w:val="002A0845"/>
    <w:rsid w:val="002C7DE1"/>
    <w:rsid w:val="002D155C"/>
    <w:rsid w:val="002F16C3"/>
    <w:rsid w:val="00301118"/>
    <w:rsid w:val="00320BCA"/>
    <w:rsid w:val="00331500"/>
    <w:rsid w:val="00341672"/>
    <w:rsid w:val="00354286"/>
    <w:rsid w:val="00361FB0"/>
    <w:rsid w:val="00363E17"/>
    <w:rsid w:val="00366002"/>
    <w:rsid w:val="00371690"/>
    <w:rsid w:val="00381FE1"/>
    <w:rsid w:val="00386EFF"/>
    <w:rsid w:val="003912AC"/>
    <w:rsid w:val="003A2FDE"/>
    <w:rsid w:val="003D661B"/>
    <w:rsid w:val="003D6BEC"/>
    <w:rsid w:val="004030FA"/>
    <w:rsid w:val="00415CE1"/>
    <w:rsid w:val="00431036"/>
    <w:rsid w:val="00442820"/>
    <w:rsid w:val="00471446"/>
    <w:rsid w:val="00473A6C"/>
    <w:rsid w:val="00477257"/>
    <w:rsid w:val="00487ECD"/>
    <w:rsid w:val="00496863"/>
    <w:rsid w:val="004A331B"/>
    <w:rsid w:val="004A40DA"/>
    <w:rsid w:val="004B0AA1"/>
    <w:rsid w:val="004B1DBF"/>
    <w:rsid w:val="004C499D"/>
    <w:rsid w:val="004D2476"/>
    <w:rsid w:val="004F3E5D"/>
    <w:rsid w:val="00503ACB"/>
    <w:rsid w:val="00524293"/>
    <w:rsid w:val="00551BD2"/>
    <w:rsid w:val="00556B53"/>
    <w:rsid w:val="00560205"/>
    <w:rsid w:val="00570A85"/>
    <w:rsid w:val="0057460D"/>
    <w:rsid w:val="00576815"/>
    <w:rsid w:val="005C0CCC"/>
    <w:rsid w:val="005C63CF"/>
    <w:rsid w:val="005F230E"/>
    <w:rsid w:val="005F51C6"/>
    <w:rsid w:val="0060493A"/>
    <w:rsid w:val="00611F12"/>
    <w:rsid w:val="0063793F"/>
    <w:rsid w:val="00684079"/>
    <w:rsid w:val="00693048"/>
    <w:rsid w:val="00693793"/>
    <w:rsid w:val="00695EA0"/>
    <w:rsid w:val="006A0B5F"/>
    <w:rsid w:val="006A1974"/>
    <w:rsid w:val="006A3879"/>
    <w:rsid w:val="006B3416"/>
    <w:rsid w:val="006B6E36"/>
    <w:rsid w:val="006D6437"/>
    <w:rsid w:val="006F2EE6"/>
    <w:rsid w:val="006F7058"/>
    <w:rsid w:val="0070695B"/>
    <w:rsid w:val="007108A5"/>
    <w:rsid w:val="00716BBF"/>
    <w:rsid w:val="0072135C"/>
    <w:rsid w:val="00734462"/>
    <w:rsid w:val="00736F57"/>
    <w:rsid w:val="0074116E"/>
    <w:rsid w:val="00745582"/>
    <w:rsid w:val="00751F46"/>
    <w:rsid w:val="00753AD8"/>
    <w:rsid w:val="007702D8"/>
    <w:rsid w:val="00773929"/>
    <w:rsid w:val="00781A7C"/>
    <w:rsid w:val="007839EB"/>
    <w:rsid w:val="00787446"/>
    <w:rsid w:val="00787844"/>
    <w:rsid w:val="007A3647"/>
    <w:rsid w:val="007C733D"/>
    <w:rsid w:val="007F587D"/>
    <w:rsid w:val="007F5C43"/>
    <w:rsid w:val="008029CF"/>
    <w:rsid w:val="0081402D"/>
    <w:rsid w:val="00833504"/>
    <w:rsid w:val="00856A68"/>
    <w:rsid w:val="00875A53"/>
    <w:rsid w:val="008861C6"/>
    <w:rsid w:val="008A2DF9"/>
    <w:rsid w:val="008B2AAD"/>
    <w:rsid w:val="008B4AF6"/>
    <w:rsid w:val="008C6A16"/>
    <w:rsid w:val="008D281F"/>
    <w:rsid w:val="008E0BE5"/>
    <w:rsid w:val="008F0826"/>
    <w:rsid w:val="00913507"/>
    <w:rsid w:val="00915B87"/>
    <w:rsid w:val="00923411"/>
    <w:rsid w:val="00934C17"/>
    <w:rsid w:val="009514A9"/>
    <w:rsid w:val="009615C4"/>
    <w:rsid w:val="009736E5"/>
    <w:rsid w:val="00980C05"/>
    <w:rsid w:val="00987E6A"/>
    <w:rsid w:val="009A2EDD"/>
    <w:rsid w:val="009A3291"/>
    <w:rsid w:val="009A3933"/>
    <w:rsid w:val="009B519C"/>
    <w:rsid w:val="009B6B93"/>
    <w:rsid w:val="009C43B7"/>
    <w:rsid w:val="009C70AF"/>
    <w:rsid w:val="009E0A77"/>
    <w:rsid w:val="00A066AC"/>
    <w:rsid w:val="00A10F79"/>
    <w:rsid w:val="00A32302"/>
    <w:rsid w:val="00A502E9"/>
    <w:rsid w:val="00A50603"/>
    <w:rsid w:val="00A618C9"/>
    <w:rsid w:val="00A747A1"/>
    <w:rsid w:val="00A80A5F"/>
    <w:rsid w:val="00A85348"/>
    <w:rsid w:val="00A86466"/>
    <w:rsid w:val="00A90518"/>
    <w:rsid w:val="00A96DF9"/>
    <w:rsid w:val="00AB1FF9"/>
    <w:rsid w:val="00AC2779"/>
    <w:rsid w:val="00AC4364"/>
    <w:rsid w:val="00AD05B1"/>
    <w:rsid w:val="00AD2DBE"/>
    <w:rsid w:val="00AE11A7"/>
    <w:rsid w:val="00B03371"/>
    <w:rsid w:val="00B05753"/>
    <w:rsid w:val="00B05A9E"/>
    <w:rsid w:val="00B230B4"/>
    <w:rsid w:val="00B4030A"/>
    <w:rsid w:val="00B537E7"/>
    <w:rsid w:val="00B845D2"/>
    <w:rsid w:val="00B902C5"/>
    <w:rsid w:val="00BB4629"/>
    <w:rsid w:val="00BC18C2"/>
    <w:rsid w:val="00BD77A4"/>
    <w:rsid w:val="00BF2372"/>
    <w:rsid w:val="00C43E5F"/>
    <w:rsid w:val="00C441E9"/>
    <w:rsid w:val="00C64623"/>
    <w:rsid w:val="00CA4235"/>
    <w:rsid w:val="00CB1BB0"/>
    <w:rsid w:val="00CC093F"/>
    <w:rsid w:val="00CC1B1D"/>
    <w:rsid w:val="00CC71E6"/>
    <w:rsid w:val="00CF2529"/>
    <w:rsid w:val="00CF6EDD"/>
    <w:rsid w:val="00D263A3"/>
    <w:rsid w:val="00D27864"/>
    <w:rsid w:val="00D27F51"/>
    <w:rsid w:val="00D41F15"/>
    <w:rsid w:val="00D43197"/>
    <w:rsid w:val="00D438AF"/>
    <w:rsid w:val="00D45AFC"/>
    <w:rsid w:val="00D65CA8"/>
    <w:rsid w:val="00D76422"/>
    <w:rsid w:val="00D8143E"/>
    <w:rsid w:val="00D9577B"/>
    <w:rsid w:val="00D97E41"/>
    <w:rsid w:val="00DB345C"/>
    <w:rsid w:val="00DE1993"/>
    <w:rsid w:val="00DE552B"/>
    <w:rsid w:val="00DF3291"/>
    <w:rsid w:val="00DF431E"/>
    <w:rsid w:val="00E01AE6"/>
    <w:rsid w:val="00E1097E"/>
    <w:rsid w:val="00E50C86"/>
    <w:rsid w:val="00E53B51"/>
    <w:rsid w:val="00E57E9E"/>
    <w:rsid w:val="00E63670"/>
    <w:rsid w:val="00E81EF6"/>
    <w:rsid w:val="00EB34F2"/>
    <w:rsid w:val="00EC569B"/>
    <w:rsid w:val="00ED237B"/>
    <w:rsid w:val="00ED4206"/>
    <w:rsid w:val="00EE37B4"/>
    <w:rsid w:val="00EF0EDB"/>
    <w:rsid w:val="00F00E51"/>
    <w:rsid w:val="00F1392A"/>
    <w:rsid w:val="00F161DA"/>
    <w:rsid w:val="00F17ACD"/>
    <w:rsid w:val="00F364D9"/>
    <w:rsid w:val="00F5143C"/>
    <w:rsid w:val="00F54036"/>
    <w:rsid w:val="00F57ADC"/>
    <w:rsid w:val="00F66F16"/>
    <w:rsid w:val="00F7597B"/>
    <w:rsid w:val="00F77FB8"/>
    <w:rsid w:val="00F80712"/>
    <w:rsid w:val="00FA02DD"/>
    <w:rsid w:val="00FC10BA"/>
    <w:rsid w:val="00FE7823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A4D21A"/>
  <w15:docId w15:val="{61DCE0F7-0B56-49F3-9C93-B3BDEE8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C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7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7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9</cp:revision>
  <cp:lastPrinted>2019-01-03T18:08:00Z</cp:lastPrinted>
  <dcterms:created xsi:type="dcterms:W3CDTF">2026-05-08T15:12:00Z</dcterms:created>
  <dcterms:modified xsi:type="dcterms:W3CDTF">2026-05-12T13:04:00Z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2026-04-21T16:06:31Z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ea8e9165-0eca-443a-a3e7-84b397677fc5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